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overflowPunct/>
        <w:topLinePunct w:val="0"/>
        <w:autoSpaceDE/>
        <w:autoSpaceDN/>
        <w:bidi w:val="0"/>
        <w:snapToGrid/>
        <w:spacing w:line="560" w:lineRule="exact"/>
        <w:ind w:left="0" w:firstLine="0" w:firstLineChars="0"/>
        <w:jc w:val="both"/>
        <w:rPr>
          <w:rFonts w:hint="eastAsia" w:ascii="黑体" w:hAnsi="黑体" w:eastAsia="黑体"/>
          <w:color w:val="000000"/>
          <w:kern w:val="2"/>
          <w:sz w:val="32"/>
          <w:szCs w:val="32"/>
          <w:lang w:val="en-US" w:eastAsia="zh-CN"/>
        </w:rPr>
      </w:pPr>
      <w:r>
        <w:rPr>
          <w:rFonts w:hint="eastAsia" w:ascii="黑体" w:hAnsi="黑体" w:eastAsia="黑体"/>
          <w:color w:val="000000"/>
          <w:kern w:val="2"/>
          <w:sz w:val="32"/>
          <w:szCs w:val="32"/>
          <w:lang w:val="en-US" w:eastAsia="zh-CN"/>
        </w:rPr>
        <w:t>附件4</w:t>
      </w:r>
    </w:p>
    <w:p>
      <w:pPr>
        <w:pStyle w:val="4"/>
        <w:keepNext w:val="0"/>
        <w:keepLines w:val="0"/>
        <w:pageBreakBefore w:val="0"/>
        <w:widowControl w:val="0"/>
        <w:kinsoku/>
        <w:overflowPunct/>
        <w:topLinePunct w:val="0"/>
        <w:autoSpaceDE/>
        <w:autoSpaceDN/>
        <w:bidi w:val="0"/>
        <w:snapToGrid/>
        <w:spacing w:line="560" w:lineRule="exact"/>
        <w:jc w:val="center"/>
        <w:rPr>
          <w:rFonts w:hint="eastAsia" w:ascii="方正小标宋_GBK" w:eastAsia="方正小标宋_GBK"/>
          <w:kern w:val="2"/>
          <w:sz w:val="44"/>
          <w:szCs w:val="36"/>
          <w:lang w:val="en-US" w:eastAsia="zh-CN"/>
        </w:rPr>
      </w:pPr>
      <w:r>
        <w:rPr>
          <w:rFonts w:hint="eastAsia" w:ascii="方正小标宋_GBK" w:eastAsia="方正小标宋_GBK"/>
          <w:kern w:val="2"/>
          <w:sz w:val="44"/>
          <w:szCs w:val="36"/>
          <w:lang w:val="en-US" w:eastAsia="zh-CN"/>
        </w:rPr>
        <w:t>综合评分表</w:t>
      </w:r>
    </w:p>
    <w:tbl>
      <w:tblPr>
        <w:tblStyle w:val="2"/>
        <w:tblW w:w="0" w:type="auto"/>
        <w:jc w:val="center"/>
        <w:tblLayout w:type="fixed"/>
        <w:tblCellMar>
          <w:top w:w="0" w:type="dxa"/>
          <w:left w:w="0" w:type="dxa"/>
          <w:bottom w:w="0" w:type="dxa"/>
          <w:right w:w="0" w:type="dxa"/>
        </w:tblCellMar>
      </w:tblPr>
      <w:tblGrid>
        <w:gridCol w:w="721"/>
        <w:gridCol w:w="1428"/>
        <w:gridCol w:w="840"/>
        <w:gridCol w:w="5408"/>
        <w:gridCol w:w="940"/>
      </w:tblGrid>
      <w:tr>
        <w:tblPrEx>
          <w:tblCellMar>
            <w:top w:w="0" w:type="dxa"/>
            <w:left w:w="0" w:type="dxa"/>
            <w:bottom w:w="0" w:type="dxa"/>
            <w:right w:w="0" w:type="dxa"/>
          </w:tblCellMar>
        </w:tblPrEx>
        <w:trPr>
          <w:trHeight w:val="929" w:hRule="atLeast"/>
          <w:jc w:val="center"/>
        </w:trPr>
        <w:tc>
          <w:tcPr>
            <w:tcW w:w="7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right="0"/>
              <w:jc w:val="center"/>
              <w:textAlignment w:val="auto"/>
              <w:outlineLvl w:val="9"/>
              <w:rPr>
                <w:rFonts w:hint="eastAsia" w:ascii="宋体" w:eastAsia="宋体"/>
                <w:bCs/>
                <w:color w:val="000000"/>
                <w:kern w:val="0"/>
                <w:sz w:val="21"/>
                <w:szCs w:val="28"/>
              </w:rPr>
            </w:pPr>
            <w:r>
              <w:rPr>
                <w:rFonts w:hint="eastAsia" w:ascii="宋体" w:eastAsia="宋体"/>
                <w:bCs/>
                <w:color w:val="000000"/>
                <w:kern w:val="0"/>
                <w:sz w:val="21"/>
                <w:szCs w:val="28"/>
              </w:rPr>
              <w:t>序号</w:t>
            </w:r>
          </w:p>
        </w:tc>
        <w:tc>
          <w:tcPr>
            <w:tcW w:w="142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right="0"/>
              <w:jc w:val="center"/>
              <w:textAlignment w:val="auto"/>
              <w:outlineLvl w:val="9"/>
              <w:rPr>
                <w:rFonts w:hint="eastAsia" w:ascii="宋体" w:eastAsia="宋体"/>
                <w:bCs/>
                <w:color w:val="000000"/>
                <w:kern w:val="0"/>
                <w:sz w:val="21"/>
                <w:szCs w:val="28"/>
              </w:rPr>
            </w:pPr>
            <w:r>
              <w:rPr>
                <w:rFonts w:hint="eastAsia" w:ascii="宋体" w:eastAsia="宋体"/>
                <w:bCs/>
                <w:color w:val="000000"/>
                <w:kern w:val="0"/>
                <w:sz w:val="21"/>
                <w:szCs w:val="28"/>
              </w:rPr>
              <w:t>评分因素</w:t>
            </w:r>
          </w:p>
          <w:p>
            <w:pPr>
              <w:keepNext w:val="0"/>
              <w:keepLines w:val="0"/>
              <w:pageBreakBefore w:val="0"/>
              <w:widowControl w:val="0"/>
              <w:kinsoku/>
              <w:overflowPunct/>
              <w:topLinePunct w:val="0"/>
              <w:autoSpaceDE/>
              <w:autoSpaceDN/>
              <w:bidi w:val="0"/>
              <w:adjustRightInd/>
              <w:snapToGrid/>
              <w:spacing w:before="0" w:after="0" w:line="400" w:lineRule="exact"/>
              <w:ind w:right="0"/>
              <w:jc w:val="center"/>
              <w:textAlignment w:val="auto"/>
              <w:outlineLvl w:val="9"/>
              <w:rPr>
                <w:rFonts w:hint="eastAsia" w:ascii="宋体" w:eastAsia="宋体"/>
                <w:bCs/>
                <w:color w:val="000000"/>
                <w:kern w:val="0"/>
                <w:sz w:val="21"/>
                <w:szCs w:val="28"/>
              </w:rPr>
            </w:pPr>
            <w:r>
              <w:rPr>
                <w:rFonts w:hint="eastAsia" w:ascii="宋体" w:eastAsia="宋体"/>
                <w:bCs/>
                <w:color w:val="000000"/>
                <w:kern w:val="0"/>
                <w:sz w:val="21"/>
                <w:szCs w:val="28"/>
              </w:rPr>
              <w:t>及权重</w:t>
            </w:r>
          </w:p>
        </w:tc>
        <w:tc>
          <w:tcPr>
            <w:tcW w:w="84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right="0"/>
              <w:jc w:val="center"/>
              <w:textAlignment w:val="auto"/>
              <w:outlineLvl w:val="9"/>
              <w:rPr>
                <w:rFonts w:hint="eastAsia" w:ascii="宋体" w:eastAsia="宋体"/>
                <w:bCs/>
                <w:color w:val="000000"/>
                <w:kern w:val="0"/>
                <w:sz w:val="21"/>
                <w:szCs w:val="28"/>
              </w:rPr>
            </w:pPr>
            <w:r>
              <w:rPr>
                <w:rFonts w:hint="eastAsia" w:ascii="宋体" w:eastAsia="宋体"/>
                <w:bCs/>
                <w:color w:val="000000"/>
                <w:kern w:val="0"/>
                <w:sz w:val="21"/>
                <w:szCs w:val="28"/>
              </w:rPr>
              <w:t>分值</w:t>
            </w:r>
          </w:p>
        </w:tc>
        <w:tc>
          <w:tcPr>
            <w:tcW w:w="540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right="0"/>
              <w:jc w:val="center"/>
              <w:textAlignment w:val="auto"/>
              <w:outlineLvl w:val="9"/>
              <w:rPr>
                <w:rFonts w:hint="eastAsia" w:ascii="宋体" w:eastAsia="宋体"/>
                <w:bCs/>
                <w:color w:val="000000"/>
                <w:kern w:val="0"/>
                <w:sz w:val="21"/>
                <w:szCs w:val="28"/>
              </w:rPr>
            </w:pPr>
            <w:r>
              <w:rPr>
                <w:rFonts w:hint="eastAsia" w:ascii="宋体" w:eastAsia="宋体"/>
                <w:bCs/>
                <w:color w:val="000000"/>
                <w:kern w:val="0"/>
                <w:sz w:val="21"/>
                <w:szCs w:val="28"/>
              </w:rPr>
              <w:t>评分标准</w:t>
            </w:r>
          </w:p>
        </w:tc>
        <w:tc>
          <w:tcPr>
            <w:tcW w:w="9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right="0"/>
              <w:jc w:val="center"/>
              <w:textAlignment w:val="auto"/>
              <w:outlineLvl w:val="9"/>
              <w:rPr>
                <w:rFonts w:hint="eastAsia" w:ascii="宋体" w:eastAsia="宋体"/>
                <w:bCs/>
                <w:color w:val="000000"/>
                <w:kern w:val="0"/>
                <w:sz w:val="21"/>
                <w:szCs w:val="28"/>
              </w:rPr>
            </w:pPr>
            <w:r>
              <w:rPr>
                <w:rFonts w:hint="eastAsia" w:ascii="宋体" w:eastAsia="宋体"/>
                <w:bCs/>
                <w:color w:val="000000"/>
                <w:kern w:val="0"/>
                <w:sz w:val="21"/>
                <w:szCs w:val="28"/>
              </w:rPr>
              <w:t>说明</w:t>
            </w:r>
          </w:p>
        </w:tc>
      </w:tr>
      <w:tr>
        <w:tblPrEx>
          <w:tblCellMar>
            <w:top w:w="0" w:type="dxa"/>
            <w:left w:w="0" w:type="dxa"/>
            <w:bottom w:w="0" w:type="dxa"/>
            <w:right w:w="0" w:type="dxa"/>
          </w:tblCellMar>
        </w:tblPrEx>
        <w:trPr>
          <w:trHeight w:val="90"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left="0" w:right="0"/>
              <w:jc w:val="center"/>
              <w:textAlignment w:val="auto"/>
              <w:outlineLvl w:val="9"/>
              <w:rPr>
                <w:rFonts w:hint="eastAsia" w:ascii="宋体" w:eastAsia="宋体"/>
                <w:bCs/>
                <w:color w:val="000000"/>
                <w:sz w:val="21"/>
                <w:szCs w:val="28"/>
              </w:rPr>
            </w:pPr>
            <w:r>
              <w:rPr>
                <w:rFonts w:hint="eastAsia" w:ascii="宋体" w:eastAsia="宋体"/>
                <w:bCs/>
                <w:color w:val="000000"/>
                <w:sz w:val="21"/>
                <w:szCs w:val="28"/>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right="0"/>
              <w:textAlignment w:val="auto"/>
              <w:outlineLvl w:val="9"/>
              <w:rPr>
                <w:rFonts w:hint="eastAsia" w:ascii="宋体" w:eastAsia="宋体"/>
                <w:bCs/>
                <w:color w:val="000000"/>
                <w:sz w:val="21"/>
                <w:szCs w:val="28"/>
              </w:rPr>
            </w:pPr>
            <w:r>
              <w:rPr>
                <w:rFonts w:hint="eastAsia" w:ascii="宋体" w:eastAsia="宋体"/>
                <w:bCs/>
                <w:color w:val="000000"/>
                <w:sz w:val="21"/>
                <w:szCs w:val="28"/>
              </w:rPr>
              <w:t>报价</w:t>
            </w:r>
          </w:p>
          <w:p>
            <w:pPr>
              <w:pStyle w:val="5"/>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right="0"/>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30</w:t>
            </w:r>
            <w:r>
              <w:rPr>
                <w:rFonts w:hint="eastAsia" w:ascii="宋体" w:eastAsia="宋体"/>
                <w:bCs/>
                <w:color w:val="000000"/>
                <w:sz w:val="21"/>
                <w:szCs w:val="28"/>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right="0"/>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30</w:t>
            </w:r>
            <w:r>
              <w:rPr>
                <w:rFonts w:hint="eastAsia" w:ascii="宋体" w:eastAsia="宋体"/>
                <w:bCs/>
                <w:color w:val="000000"/>
                <w:sz w:val="21"/>
                <w:szCs w:val="28"/>
              </w:rPr>
              <w:t>分</w:t>
            </w:r>
          </w:p>
        </w:tc>
        <w:tc>
          <w:tcPr>
            <w:tcW w:w="5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rPr>
            </w:pPr>
            <w:r>
              <w:rPr>
                <w:rFonts w:hint="eastAsia" w:ascii="宋体"/>
                <w:bCs/>
                <w:szCs w:val="28"/>
              </w:rPr>
              <w:t>以满足本次比选文件要求且最后报价最低的比选申请人的价格为比选基准价，其价格分为满分。其他比选申请人的价格分统一按照下列公式计算：</w:t>
            </w:r>
          </w:p>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rPr>
            </w:pPr>
            <w:r>
              <w:rPr>
                <w:rFonts w:hint="eastAsia" w:ascii="宋体"/>
                <w:bCs/>
                <w:szCs w:val="28"/>
              </w:rPr>
              <w:t>比选报价得分=(必选基准价／最后必选报价)×30×100%。</w:t>
            </w:r>
          </w:p>
        </w:tc>
        <w:tc>
          <w:tcPr>
            <w:tcW w:w="940" w:type="dxa"/>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rPr>
            </w:pPr>
          </w:p>
        </w:tc>
      </w:tr>
      <w:tr>
        <w:tblPrEx>
          <w:tblCellMar>
            <w:top w:w="0" w:type="dxa"/>
            <w:left w:w="0" w:type="dxa"/>
            <w:bottom w:w="0" w:type="dxa"/>
            <w:right w:w="0" w:type="dxa"/>
          </w:tblCellMar>
        </w:tblPrEx>
        <w:trPr>
          <w:trHeight w:val="2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left="0" w:right="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leftChars="0" w:right="0" w:firstLine="0"/>
              <w:jc w:val="center"/>
              <w:textAlignment w:val="auto"/>
              <w:outlineLvl w:val="9"/>
              <w:rPr>
                <w:rFonts w:hint="eastAsia" w:ascii="宋体" w:eastAsia="宋体"/>
                <w:bCs/>
                <w:color w:val="000000"/>
                <w:sz w:val="21"/>
                <w:szCs w:val="28"/>
              </w:rPr>
            </w:pPr>
            <w:r>
              <w:rPr>
                <w:rFonts w:hint="eastAsia" w:ascii="宋体" w:eastAsia="宋体"/>
                <w:bCs/>
                <w:color w:val="000000"/>
                <w:sz w:val="21"/>
                <w:szCs w:val="28"/>
              </w:rPr>
              <w:t>履约能力</w:t>
            </w:r>
          </w:p>
          <w:p>
            <w:pPr>
              <w:pStyle w:val="6"/>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leftChars="0" w:right="0" w:firstLine="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22</w:t>
            </w:r>
            <w:r>
              <w:rPr>
                <w:rFonts w:hint="eastAsia" w:ascii="宋体" w:eastAsia="宋体"/>
                <w:bCs/>
                <w:color w:val="000000"/>
                <w:sz w:val="21"/>
                <w:szCs w:val="28"/>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val="0"/>
              <w:overflowPunct/>
              <w:topLinePunct w:val="0"/>
              <w:autoSpaceDE/>
              <w:autoSpaceDN/>
              <w:adjustRightInd/>
              <w:snapToGrid/>
              <w:spacing w:line="400" w:lineRule="exact"/>
              <w:ind w:left="0"/>
              <w:rPr>
                <w:rFonts w:hint="eastAsia" w:ascii="宋体"/>
                <w:bCs/>
                <w:color w:val="000000"/>
                <w:szCs w:val="28"/>
                <w:lang w:val="en-US" w:eastAsia="zh-CN"/>
              </w:rPr>
            </w:pPr>
            <w:r>
              <w:rPr>
                <w:rFonts w:hint="eastAsia" w:ascii="宋体"/>
                <w:bCs/>
                <w:color w:val="000000"/>
                <w:szCs w:val="28"/>
                <w:lang w:val="en-US" w:eastAsia="zh-CN"/>
              </w:rPr>
              <w:t>22</w:t>
            </w:r>
            <w:r>
              <w:rPr>
                <w:rFonts w:hint="eastAsia" w:ascii="宋体"/>
                <w:bCs/>
                <w:color w:val="000000"/>
                <w:szCs w:val="28"/>
              </w:rPr>
              <w:t>分</w:t>
            </w:r>
          </w:p>
        </w:tc>
        <w:tc>
          <w:tcPr>
            <w:tcW w:w="5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lang w:val="en-US" w:eastAsia="zh-CN"/>
              </w:rPr>
            </w:pPr>
            <w:r>
              <w:rPr>
                <w:rFonts w:hint="eastAsia" w:ascii="宋体"/>
                <w:bCs/>
                <w:szCs w:val="28"/>
                <w:lang w:val="en-US" w:eastAsia="zh-CN"/>
              </w:rPr>
              <w:t>1.比选申请人拟投入本项目服务团队中每提供一个一级及以上足球教练员或足球裁判员得2分，本项最多得4分。（提供有效证书复印件及第三方在职证明）</w:t>
            </w:r>
          </w:p>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lang w:val="en-US" w:eastAsia="zh-CN"/>
              </w:rPr>
            </w:pPr>
            <w:r>
              <w:rPr>
                <w:rFonts w:hint="eastAsia" w:ascii="宋体"/>
                <w:bCs/>
                <w:szCs w:val="28"/>
                <w:lang w:val="en-US" w:eastAsia="zh-CN"/>
              </w:rPr>
              <w:t>2.比选申请人需提供同级体育行政部门或体育协会指导或主办单位）自2022年1月1日（含）至今类似项目（足球、篮球、排球）的履约案例，每提供一个国家级赛事活动得5分，每提供一个省级赛事活动得3分。本项最多得18分。（提供项目合同复印件及赛事照片(照片须与合同相对应）或（中标）成交通知书复印件）</w:t>
            </w:r>
          </w:p>
        </w:tc>
        <w:tc>
          <w:tcPr>
            <w:tcW w:w="94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before="0" w:after="0" w:line="400" w:lineRule="exact"/>
              <w:ind w:left="0" w:right="0"/>
              <w:textAlignment w:val="auto"/>
              <w:outlineLvl w:val="9"/>
              <w:rPr>
                <w:rFonts w:hint="eastAsia" w:ascii="宋体" w:eastAsia="宋体"/>
                <w:bCs/>
                <w:color w:val="000000"/>
                <w:kern w:val="0"/>
                <w:sz w:val="21"/>
                <w:szCs w:val="28"/>
                <w:lang w:val="en-US" w:eastAsia="zh-CN"/>
              </w:rPr>
            </w:pPr>
          </w:p>
        </w:tc>
      </w:tr>
      <w:tr>
        <w:tblPrEx>
          <w:tblCellMar>
            <w:top w:w="0" w:type="dxa"/>
            <w:left w:w="0" w:type="dxa"/>
            <w:bottom w:w="0" w:type="dxa"/>
            <w:right w:w="0" w:type="dxa"/>
          </w:tblCellMar>
        </w:tblPrEx>
        <w:trPr>
          <w:trHeight w:val="90"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left="0" w:right="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leftChars="0" w:right="0" w:firstLine="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设计能力</w:t>
            </w:r>
          </w:p>
          <w:p>
            <w:pPr>
              <w:pStyle w:val="6"/>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leftChars="0" w:right="0" w:firstLine="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12%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val="0"/>
              <w:overflowPunct/>
              <w:topLinePunct w:val="0"/>
              <w:autoSpaceDE/>
              <w:autoSpaceDN/>
              <w:adjustRightInd/>
              <w:snapToGrid/>
              <w:spacing w:line="400" w:lineRule="exact"/>
              <w:ind w:left="0"/>
              <w:rPr>
                <w:rFonts w:hint="eastAsia" w:ascii="宋体"/>
                <w:bCs/>
                <w:color w:val="000000"/>
                <w:szCs w:val="28"/>
                <w:lang w:val="en-US" w:eastAsia="zh-CN"/>
              </w:rPr>
            </w:pPr>
            <w:r>
              <w:rPr>
                <w:rFonts w:hint="eastAsia" w:ascii="宋体"/>
                <w:bCs/>
                <w:color w:val="000000"/>
                <w:szCs w:val="28"/>
                <w:lang w:val="en-US" w:eastAsia="zh-CN"/>
              </w:rPr>
              <w:t>12分</w:t>
            </w:r>
          </w:p>
        </w:tc>
        <w:tc>
          <w:tcPr>
            <w:tcW w:w="5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lang w:val="en-US" w:eastAsia="zh-CN"/>
              </w:rPr>
            </w:pPr>
            <w:r>
              <w:rPr>
                <w:rFonts w:hint="eastAsia" w:ascii="宋体"/>
                <w:bCs/>
                <w:szCs w:val="28"/>
                <w:lang w:val="en-US" w:eastAsia="zh-CN"/>
              </w:rPr>
              <w:t>1.提供主背景板样稿（4分）；</w:t>
            </w:r>
          </w:p>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lang w:val="en-US" w:eastAsia="zh-CN"/>
              </w:rPr>
            </w:pPr>
            <w:r>
              <w:rPr>
                <w:rFonts w:hint="eastAsia" w:ascii="宋体"/>
                <w:bCs/>
                <w:szCs w:val="28"/>
                <w:lang w:val="en-US" w:eastAsia="zh-CN"/>
              </w:rPr>
              <w:t>2.提供金银铜奖杯样稿（4分）；</w:t>
            </w:r>
          </w:p>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lang w:val="en-US" w:eastAsia="zh-CN"/>
              </w:rPr>
            </w:pPr>
            <w:r>
              <w:rPr>
                <w:rFonts w:hint="eastAsia" w:ascii="宋体"/>
                <w:bCs/>
                <w:szCs w:val="28"/>
                <w:lang w:val="en-US" w:eastAsia="zh-CN"/>
              </w:rPr>
              <w:t>3.提供获奖证书样稿（4分）。</w:t>
            </w:r>
          </w:p>
        </w:tc>
        <w:tc>
          <w:tcPr>
            <w:tcW w:w="9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before="0" w:after="0" w:line="400" w:lineRule="exact"/>
              <w:ind w:left="0" w:right="0"/>
              <w:textAlignment w:val="auto"/>
              <w:outlineLvl w:val="9"/>
              <w:rPr>
                <w:rFonts w:hint="eastAsia" w:ascii="宋体" w:eastAsia="宋体"/>
                <w:bCs/>
                <w:color w:val="000000"/>
                <w:sz w:val="21"/>
                <w:szCs w:val="28"/>
              </w:rPr>
            </w:pPr>
          </w:p>
        </w:tc>
      </w:tr>
      <w:tr>
        <w:tblPrEx>
          <w:tblCellMar>
            <w:top w:w="0" w:type="dxa"/>
            <w:left w:w="0" w:type="dxa"/>
            <w:bottom w:w="0" w:type="dxa"/>
            <w:right w:w="0" w:type="dxa"/>
          </w:tblCellMar>
        </w:tblPrEx>
        <w:trPr>
          <w:trHeight w:val="472"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0" w:after="0" w:line="400" w:lineRule="exact"/>
              <w:ind w:left="0" w:right="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leftChars="0" w:right="0" w:firstLine="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服务方案</w:t>
            </w:r>
          </w:p>
          <w:p>
            <w:pPr>
              <w:pStyle w:val="6"/>
              <w:keepNext w:val="0"/>
              <w:keepLines w:val="0"/>
              <w:pageBreakBefore w:val="0"/>
              <w:widowControl w:val="0"/>
              <w:tabs>
                <w:tab w:val="clear" w:pos="0"/>
              </w:tabs>
              <w:kinsoku/>
              <w:wordWrap w:val="0"/>
              <w:overflowPunct/>
              <w:topLinePunct w:val="0"/>
              <w:autoSpaceDE/>
              <w:autoSpaceDN/>
              <w:bidi w:val="0"/>
              <w:adjustRightInd/>
              <w:snapToGrid/>
              <w:spacing w:before="0" w:after="0" w:line="400" w:lineRule="exact"/>
              <w:ind w:left="0" w:leftChars="0" w:right="0" w:firstLine="0"/>
              <w:jc w:val="center"/>
              <w:textAlignment w:val="auto"/>
              <w:outlineLvl w:val="9"/>
              <w:rPr>
                <w:rFonts w:hint="eastAsia" w:ascii="宋体" w:eastAsia="宋体"/>
                <w:bCs/>
                <w:color w:val="000000"/>
                <w:sz w:val="21"/>
                <w:szCs w:val="28"/>
                <w:lang w:val="en-US" w:eastAsia="zh-CN"/>
              </w:rPr>
            </w:pPr>
            <w:r>
              <w:rPr>
                <w:rFonts w:hint="eastAsia" w:ascii="宋体" w:eastAsia="宋体"/>
                <w:bCs/>
                <w:color w:val="000000"/>
                <w:sz w:val="21"/>
                <w:szCs w:val="28"/>
                <w:lang w:val="en-US" w:eastAsia="zh-CN"/>
              </w:rPr>
              <w:t>36%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val="0"/>
              <w:overflowPunct/>
              <w:topLinePunct w:val="0"/>
              <w:autoSpaceDE/>
              <w:autoSpaceDN/>
              <w:adjustRightInd/>
              <w:snapToGrid/>
              <w:spacing w:line="400" w:lineRule="exact"/>
              <w:ind w:left="0"/>
              <w:rPr>
                <w:rFonts w:hint="eastAsia" w:ascii="宋体"/>
                <w:bCs/>
                <w:color w:val="000000"/>
                <w:szCs w:val="28"/>
                <w:lang w:val="en-US" w:eastAsia="zh-CN"/>
              </w:rPr>
            </w:pPr>
            <w:r>
              <w:rPr>
                <w:rFonts w:hint="eastAsia" w:ascii="宋体"/>
                <w:bCs/>
                <w:color w:val="000000"/>
                <w:szCs w:val="28"/>
                <w:lang w:val="en-US" w:eastAsia="zh-CN"/>
              </w:rPr>
              <w:t>36分</w:t>
            </w:r>
          </w:p>
        </w:tc>
        <w:tc>
          <w:tcPr>
            <w:tcW w:w="5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adjustRightInd/>
              <w:snapToGrid/>
              <w:spacing w:line="400" w:lineRule="exact"/>
              <w:rPr>
                <w:rFonts w:hint="eastAsia" w:ascii="宋体"/>
                <w:bCs/>
                <w:szCs w:val="28"/>
              </w:rPr>
            </w:pPr>
            <w:r>
              <w:rPr>
                <w:rFonts w:hint="eastAsia" w:ascii="宋体"/>
                <w:bCs/>
                <w:szCs w:val="28"/>
              </w:rPr>
              <w:t>根据</w:t>
            </w:r>
            <w:r>
              <w:rPr>
                <w:rFonts w:hint="eastAsia" w:ascii="宋体"/>
                <w:bCs/>
                <w:szCs w:val="28"/>
                <w:lang w:eastAsia="zh-CN"/>
              </w:rPr>
              <w:t>服务</w:t>
            </w:r>
            <w:r>
              <w:rPr>
                <w:rFonts w:hint="eastAsia" w:ascii="宋体"/>
                <w:bCs/>
                <w:szCs w:val="28"/>
              </w:rPr>
              <w:t>商针对本项目所提供的项目实施方案进行综合评审，实施方案内容包括但不限于：①组织方案</w:t>
            </w:r>
            <w:r>
              <w:rPr>
                <w:rFonts w:hint="eastAsia" w:ascii="宋体"/>
                <w:bCs/>
                <w:szCs w:val="28"/>
                <w:lang w:eastAsia="zh-CN"/>
              </w:rPr>
              <w:t>；②安全工作方案；③</w:t>
            </w:r>
            <w:r>
              <w:rPr>
                <w:rFonts w:hint="eastAsia" w:ascii="宋体"/>
                <w:bCs/>
                <w:szCs w:val="28"/>
              </w:rPr>
              <w:t>医疗保障及救援方案</w:t>
            </w:r>
            <w:r>
              <w:rPr>
                <w:rFonts w:hint="eastAsia" w:ascii="宋体"/>
                <w:bCs/>
                <w:szCs w:val="28"/>
                <w:lang w:eastAsia="zh-CN"/>
              </w:rPr>
              <w:t>；④</w:t>
            </w:r>
            <w:r>
              <w:rPr>
                <w:rFonts w:hint="eastAsia" w:ascii="宋体"/>
                <w:bCs/>
                <w:szCs w:val="28"/>
              </w:rPr>
              <w:t>风险防范及应急处置预案</w:t>
            </w:r>
            <w:r>
              <w:rPr>
                <w:rFonts w:hint="eastAsia" w:ascii="宋体"/>
                <w:bCs/>
                <w:szCs w:val="28"/>
                <w:lang w:eastAsia="zh-CN"/>
              </w:rPr>
              <w:t>；⑤</w:t>
            </w:r>
            <w:r>
              <w:rPr>
                <w:rFonts w:hint="eastAsia" w:ascii="宋体"/>
                <w:bCs/>
                <w:szCs w:val="28"/>
              </w:rPr>
              <w:t>风险评估报告</w:t>
            </w:r>
            <w:r>
              <w:rPr>
                <w:rFonts w:hint="eastAsia" w:ascii="宋体"/>
                <w:bCs/>
                <w:szCs w:val="28"/>
                <w:lang w:eastAsia="zh-CN"/>
              </w:rPr>
              <w:t>；⑥赛事“熔断”机制。</w:t>
            </w:r>
            <w:r>
              <w:rPr>
                <w:rFonts w:hint="eastAsia" w:ascii="宋体"/>
                <w:bCs/>
                <w:szCs w:val="28"/>
                <w:lang w:val="en-US" w:eastAsia="zh-CN"/>
              </w:rPr>
              <w:t>完全</w:t>
            </w:r>
            <w:r>
              <w:rPr>
                <w:rFonts w:hint="eastAsia" w:ascii="宋体"/>
                <w:bCs/>
                <w:szCs w:val="28"/>
              </w:rPr>
              <w:t>满足采购项目需求并</w:t>
            </w:r>
            <w:r>
              <w:rPr>
                <w:rFonts w:hint="eastAsia" w:ascii="宋体"/>
                <w:bCs/>
                <w:szCs w:val="28"/>
                <w:lang w:val="en-US" w:eastAsia="zh-CN"/>
              </w:rPr>
              <w:t>有</w:t>
            </w:r>
            <w:r>
              <w:rPr>
                <w:rFonts w:hint="eastAsia" w:ascii="宋体"/>
                <w:bCs/>
                <w:szCs w:val="28"/>
              </w:rPr>
              <w:t>利于促进本项目顺利开展实施的得</w:t>
            </w:r>
            <w:r>
              <w:rPr>
                <w:rFonts w:hint="eastAsia" w:ascii="宋体"/>
                <w:bCs/>
                <w:szCs w:val="28"/>
                <w:lang w:val="en-US" w:eastAsia="zh-CN"/>
              </w:rPr>
              <w:t>30</w:t>
            </w:r>
            <w:r>
              <w:rPr>
                <w:rFonts w:hint="eastAsia" w:ascii="宋体"/>
                <w:bCs/>
                <w:szCs w:val="28"/>
              </w:rPr>
              <w:t>分，每有一项缺项或漏项扣</w:t>
            </w:r>
            <w:r>
              <w:rPr>
                <w:rFonts w:hint="eastAsia" w:ascii="宋体"/>
                <w:bCs/>
                <w:szCs w:val="28"/>
                <w:lang w:val="en-US" w:eastAsia="zh-CN"/>
              </w:rPr>
              <w:t>6</w:t>
            </w:r>
            <w:r>
              <w:rPr>
                <w:rFonts w:hint="eastAsia" w:ascii="宋体"/>
                <w:bCs/>
                <w:szCs w:val="28"/>
                <w:lang w:eastAsia="zh-CN"/>
              </w:rPr>
              <w:t>分</w:t>
            </w:r>
            <w:r>
              <w:rPr>
                <w:rFonts w:hint="eastAsia" w:ascii="宋体"/>
                <w:bCs/>
                <w:szCs w:val="28"/>
              </w:rPr>
              <w:t>。方案内容完整，每有一项缺陷扣</w:t>
            </w:r>
            <w:r>
              <w:rPr>
                <w:rFonts w:hint="eastAsia" w:ascii="宋体"/>
                <w:bCs/>
                <w:szCs w:val="28"/>
                <w:lang w:val="en-US" w:eastAsia="zh-CN"/>
              </w:rPr>
              <w:t>3</w:t>
            </w:r>
            <w:r>
              <w:rPr>
                <w:rFonts w:hint="eastAsia" w:ascii="宋体"/>
                <w:bCs/>
                <w:szCs w:val="28"/>
              </w:rPr>
              <w:t>分。（缺陷指内容不合理或不符合实际或逻辑性错误或内容错误或与本项目无关或项目名称地点错误等）。</w:t>
            </w:r>
          </w:p>
        </w:tc>
        <w:tc>
          <w:tcPr>
            <w:tcW w:w="9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before="0" w:after="0" w:line="400" w:lineRule="exact"/>
              <w:ind w:left="0" w:right="0"/>
              <w:textAlignment w:val="auto"/>
              <w:outlineLvl w:val="9"/>
              <w:rPr>
                <w:rFonts w:hint="eastAsia" w:ascii="宋体" w:eastAsia="宋体"/>
                <w:bCs/>
                <w:color w:val="000000"/>
                <w:sz w:val="21"/>
                <w:szCs w:val="28"/>
              </w:rPr>
            </w:pPr>
          </w:p>
        </w:tc>
      </w:tr>
    </w:tbl>
    <w:p>
      <w:pPr>
        <w:keepNext w:val="0"/>
        <w:keepLines w:val="0"/>
        <w:pageBreakBefore w:val="0"/>
        <w:widowControl w:val="0"/>
        <w:kinsoku/>
        <w:overflowPunct/>
        <w:topLinePunct w:val="0"/>
        <w:autoSpaceDE/>
        <w:autoSpaceDN/>
        <w:bidi w:val="0"/>
        <w:snapToGrid/>
        <w:spacing w:line="560" w:lineRule="exact"/>
      </w:pPr>
    </w:p>
    <w:p>
      <w:bookmarkStart w:id="0" w:name="_GoBack"/>
      <w:bookmarkEnd w:id="0"/>
    </w:p>
    <w:sectPr>
      <w:pgSz w:w="11906" w:h="16838"/>
      <w:pgMar w:top="2097" w:right="1474" w:bottom="1440" w:left="1587" w:header="851" w:footer="992" w:gutter="0"/>
      <w:pgNumType w:start="1"/>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8D9B"/>
    <w:rsid w:val="5987DEA5"/>
    <w:rsid w:val="7BFD8D9B"/>
    <w:rsid w:val="BDDB9720"/>
    <w:rsid w:val="CDBF1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858D7CFB-ED40-4347-BF05-701D383B685F}{858D7CFB-ED40-4347-BF05-701D383B685F}"/>
    <w:basedOn w:val="1"/>
    <w:qFormat/>
    <w:uiPriority w:val="0"/>
    <w:pPr>
      <w:widowControl w:val="0"/>
      <w:spacing w:after="120" w:afterLines="0" w:line="360" w:lineRule="auto"/>
      <w:ind w:firstLine="200" w:firstLineChars="200"/>
      <w:jc w:val="both"/>
    </w:pPr>
    <w:rPr>
      <w:rFonts w:ascii="Times New Roman" w:hAnsi="Times New Roman" w:eastAsia="宋体"/>
      <w:kern w:val="2"/>
      <w:sz w:val="21"/>
      <w:szCs w:val="24"/>
      <w:lang w:val="en-US" w:eastAsia="zh-CN"/>
    </w:rPr>
  </w:style>
  <w:style w:type="paragraph" w:customStyle="1" w:styleId="5">
    <w:name w:val="13、表格内居中正文"/>
    <w:basedOn w:val="1"/>
    <w:qFormat/>
    <w:uiPriority w:val="0"/>
    <w:pPr>
      <w:tabs>
        <w:tab w:val="left" w:pos="0"/>
      </w:tabs>
      <w:wordWrap w:val="0"/>
      <w:topLinePunct/>
      <w:spacing w:line="360" w:lineRule="exact"/>
      <w:jc w:val="center"/>
    </w:pPr>
    <w:rPr>
      <w:rFonts w:ascii="宋体" w:eastAsia="宋体"/>
      <w:sz w:val="21"/>
    </w:rPr>
  </w:style>
  <w:style w:type="paragraph" w:customStyle="1" w:styleId="6">
    <w:name w:val="12、表格内左对齐正文"/>
    <w:basedOn w:val="1"/>
    <w:qFormat/>
    <w:uiPriority w:val="0"/>
    <w:pPr>
      <w:tabs>
        <w:tab w:val="left" w:pos="0"/>
      </w:tabs>
      <w:wordWrap w:val="0"/>
      <w:topLinePunct/>
      <w:spacing w:line="360" w:lineRule="exact"/>
      <w:ind w:left="20" w:leftChars="20" w:firstLine="0"/>
    </w:pPr>
    <w:rPr>
      <w:rFonts w:asci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2024-09-15T03:05:00Z</dcterms:created>
  <dc:creator>user</dc:creator>
  <cp:lastModifiedBy>user</cp:lastModifiedBy>
  <dcterms:modified xsi:type="dcterms:W3CDTF">2024-09-14T11:37:45Z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