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yellow"/>
        </w:rPr>
      </w:pPr>
      <w:bookmarkStart w:id="0" w:name="_Toc15306267"/>
    </w:p>
    <w:p>
      <w:pPr>
        <w:spacing w:line="600" w:lineRule="exact"/>
        <w:jc w:val="center"/>
        <w:outlineLvl w:val="9"/>
        <w:rPr>
          <w:rFonts w:ascii="方正小标宋简体" w:hAnsi="宋体" w:eastAsia="方正小标宋简体"/>
          <w:color w:val="auto"/>
          <w:sz w:val="72"/>
          <w:szCs w:val="72"/>
          <w:highlight w:val="yellow"/>
        </w:rPr>
      </w:pPr>
    </w:p>
    <w:p>
      <w:pPr>
        <w:spacing w:line="600" w:lineRule="exact"/>
        <w:jc w:val="center"/>
        <w:outlineLvl w:val="9"/>
        <w:rPr>
          <w:rFonts w:ascii="方正小标宋简体" w:hAnsi="宋体" w:eastAsia="方正小标宋简体"/>
          <w:color w:val="auto"/>
          <w:sz w:val="72"/>
          <w:szCs w:val="72"/>
          <w:highlight w:val="yellow"/>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2542"/>
      <w:bookmarkStart w:id="3" w:name="_Toc15377193"/>
      <w:bookmarkStart w:id="4" w:name="_Toc15377425"/>
      <w:bookmarkStart w:id="5" w:name="_Toc15396597"/>
      <w:bookmarkStart w:id="6"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7" w:name="_Toc15377426"/>
      <w:bookmarkStart w:id="8" w:name="_Toc15377194"/>
      <w:bookmarkStart w:id="9" w:name="_Toc28478"/>
      <w:bookmarkStart w:id="10" w:name="_Toc15396598"/>
      <w:bookmarkStart w:id="11" w:name="_Toc15396476"/>
      <w:bookmarkStart w:id="12" w:name="_Toc15378442"/>
      <w:r>
        <w:rPr>
          <w:rFonts w:hint="eastAsia" w:ascii="方正小标宋简体" w:hAnsi="方正小标宋简体" w:eastAsia="方正小标宋简体" w:cs="方正小标宋简体"/>
          <w:color w:val="auto"/>
          <w:sz w:val="72"/>
          <w:szCs w:val="72"/>
          <w:highlight w:val="none"/>
          <w:lang w:val="en-US" w:eastAsia="zh-CN"/>
        </w:rPr>
        <w:t>广元市</w:t>
      </w:r>
      <w:bookmarkStart w:id="13" w:name="_Toc15306268"/>
      <w:r>
        <w:rPr>
          <w:rFonts w:hint="eastAsia" w:ascii="方正小标宋简体" w:hAnsi="方正小标宋简体" w:eastAsia="方正小标宋简体" w:cs="方正小标宋简体"/>
          <w:color w:val="auto"/>
          <w:sz w:val="72"/>
          <w:szCs w:val="72"/>
          <w:highlight w:val="none"/>
          <w:lang w:eastAsia="zh-CN"/>
        </w:rPr>
        <w:t>业余体校单位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1"/>
        <w:rPr>
          <w:rFonts w:hint="eastAsia" w:eastAsia="仿宋"/>
          <w:color w:val="auto"/>
          <w:highlight w:val="none"/>
          <w:lang w:val="en-US" w:eastAsia="zh-CN"/>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17</w:t>
      </w:r>
      <w:r>
        <w:rPr>
          <w:rFonts w:hint="eastAsia"/>
          <w:color w:val="auto"/>
          <w:highlight w:val="none"/>
        </w:rPr>
        <w:t>日</w:t>
      </w:r>
      <w:bookmarkStart w:id="105" w:name="_GoBack"/>
      <w:bookmarkEnd w:id="105"/>
    </w:p>
    <w:sdt>
      <w:sdtPr>
        <w:rPr>
          <w:rFonts w:ascii="宋体" w:hAnsi="宋体" w:eastAsia="宋体" w:cs="Times New Roman"/>
          <w:kern w:val="2"/>
          <w:sz w:val="21"/>
          <w:szCs w:val="24"/>
          <w:highlight w:val="none"/>
          <w:lang w:val="en-US" w:eastAsia="zh-CN" w:bidi="ar-SA"/>
        </w:rPr>
        <w:id w:val="147468085"/>
        <w15:color w:val="DBDBDB"/>
        <w:docPartObj>
          <w:docPartGallery w:val="Table of Contents"/>
          <w:docPartUnique/>
        </w:docPartObj>
      </w:sdtPr>
      <w:sdtEndPr>
        <w:rPr>
          <w:rFonts w:ascii="宋体" w:hAnsi="宋体" w:eastAsia="宋体" w:cs="Times New Roman"/>
          <w:b/>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highlight w:val="none"/>
            </w:rPr>
          </w:pPr>
          <w:bookmarkStart w:id="14" w:name="_Toc15377196"/>
          <w:bookmarkStart w:id="15" w:name="_Toc15396599"/>
          <w:r>
            <w:rPr>
              <w:highlight w:val="none"/>
            </w:rPr>
            <w:fldChar w:fldCharType="begin"/>
          </w:r>
          <w:r>
            <w:rPr>
              <w:highlight w:val="none"/>
            </w:rPr>
            <w:instrText xml:space="preserve">TOC \o "1-2" \h \u </w:instrText>
          </w:r>
          <w:r>
            <w:rPr>
              <w:highlight w:val="none"/>
            </w:rPr>
            <w:fldChar w:fldCharType="separate"/>
          </w:r>
        </w:p>
        <w:p>
          <w:pPr>
            <w:pStyle w:val="33"/>
            <w:tabs>
              <w:tab w:val="right" w:leader="dot" w:pos="8306"/>
            </w:tabs>
            <w:rPr>
              <w:b/>
              <w:highlight w:val="none"/>
            </w:rPr>
          </w:pPr>
          <w:r>
            <w:rPr>
              <w:b/>
              <w:highlight w:val="none"/>
            </w:rPr>
            <w:fldChar w:fldCharType="begin"/>
          </w:r>
          <w:r>
            <w:rPr>
              <w:b/>
              <w:highlight w:val="none"/>
            </w:rPr>
            <w:instrText xml:space="preserve"> HYPERLINK \l _Toc26185 </w:instrText>
          </w:r>
          <w:r>
            <w:rPr>
              <w:b/>
              <w:highlight w:val="none"/>
            </w:rPr>
            <w:fldChar w:fldCharType="separate"/>
          </w:r>
          <w:r>
            <w:rPr>
              <w:rFonts w:hint="eastAsia" w:ascii="黑体" w:hAnsi="黑体" w:eastAsia="黑体"/>
              <w:b/>
              <w:bCs w:val="0"/>
              <w:highlight w:val="none"/>
            </w:rPr>
            <w:t xml:space="preserve">第一部分 </w:t>
          </w:r>
          <w:r>
            <w:rPr>
              <w:rFonts w:hint="eastAsia" w:ascii="黑体" w:hAnsi="黑体" w:eastAsia="黑体"/>
              <w:b/>
              <w:bCs w:val="0"/>
              <w:highlight w:val="none"/>
              <w:lang w:eastAsia="zh-CN"/>
            </w:rPr>
            <w:t>单位</w:t>
          </w:r>
          <w:r>
            <w:rPr>
              <w:rFonts w:hint="eastAsia" w:ascii="黑体" w:hAnsi="黑体" w:eastAsia="黑体"/>
              <w:b/>
              <w:bCs w:val="0"/>
              <w:highlight w:val="none"/>
            </w:rPr>
            <w:t>概况</w:t>
          </w:r>
          <w:r>
            <w:rPr>
              <w:b/>
              <w:highlight w:val="none"/>
            </w:rPr>
            <w:tab/>
          </w:r>
          <w:r>
            <w:rPr>
              <w:b/>
              <w:highlight w:val="none"/>
            </w:rPr>
            <w:fldChar w:fldCharType="begin"/>
          </w:r>
          <w:r>
            <w:rPr>
              <w:b/>
              <w:highlight w:val="none"/>
            </w:rPr>
            <w:instrText xml:space="preserve"> PAGEREF _Toc26185 \h </w:instrText>
          </w:r>
          <w:r>
            <w:rPr>
              <w:b/>
              <w:highlight w:val="none"/>
            </w:rPr>
            <w:fldChar w:fldCharType="separate"/>
          </w:r>
          <w:r>
            <w:rPr>
              <w:b/>
              <w:highlight w:val="none"/>
            </w:rPr>
            <w:t>1</w:t>
          </w:r>
          <w:r>
            <w:rPr>
              <w:b/>
              <w:highlight w:val="none"/>
            </w:rPr>
            <w:fldChar w:fldCharType="end"/>
          </w:r>
          <w:r>
            <w:rPr>
              <w:b/>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_Toc26484 </w:instrText>
          </w:r>
          <w:r>
            <w:rPr>
              <w:highlight w:val="none"/>
            </w:rPr>
            <w:fldChar w:fldCharType="separate"/>
          </w:r>
          <w:r>
            <w:rPr>
              <w:rFonts w:hint="eastAsia" w:ascii="黑体" w:hAnsi="黑体" w:eastAsia="黑体" w:cs="黑体"/>
              <w:bCs w:val="0"/>
              <w:szCs w:val="32"/>
              <w:highlight w:val="none"/>
              <w:lang w:eastAsia="zh-CN"/>
            </w:rPr>
            <w:t>一、主要职责</w:t>
          </w:r>
          <w:r>
            <w:rPr>
              <w:highlight w:val="none"/>
            </w:rPr>
            <w:tab/>
          </w:r>
          <w:r>
            <w:rPr>
              <w:highlight w:val="none"/>
            </w:rPr>
            <w:fldChar w:fldCharType="begin"/>
          </w:r>
          <w:r>
            <w:rPr>
              <w:highlight w:val="none"/>
            </w:rPr>
            <w:instrText xml:space="preserve"> PAGEREF _Toc26484 \h </w:instrText>
          </w:r>
          <w:r>
            <w:rPr>
              <w:highlight w:val="none"/>
            </w:rPr>
            <w:fldChar w:fldCharType="separate"/>
          </w:r>
          <w:r>
            <w:rPr>
              <w:highlight w:val="none"/>
            </w:rPr>
            <w:t>1</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_Toc17806 </w:instrText>
          </w:r>
          <w:r>
            <w:rPr>
              <w:highlight w:val="none"/>
            </w:rPr>
            <w:fldChar w:fldCharType="separate"/>
          </w:r>
          <w:r>
            <w:rPr>
              <w:rFonts w:hint="eastAsia" w:ascii="黑体" w:hAnsi="黑体" w:eastAsia="黑体" w:cs="黑体"/>
              <w:bCs w:val="0"/>
              <w:szCs w:val="32"/>
              <w:highlight w:val="none"/>
              <w:lang w:eastAsia="zh-CN"/>
            </w:rPr>
            <w:t>二、</w:t>
          </w:r>
          <w:r>
            <w:rPr>
              <w:rFonts w:hint="eastAsia" w:ascii="黑体" w:hAnsi="黑体" w:eastAsia="黑体" w:cs="黑体"/>
              <w:szCs w:val="32"/>
              <w:highlight w:val="none"/>
              <w:lang w:val="en-US" w:eastAsia="zh-CN"/>
            </w:rPr>
            <w:t>机构设置</w:t>
          </w:r>
          <w:r>
            <w:rPr>
              <w:highlight w:val="none"/>
            </w:rPr>
            <w:tab/>
          </w:r>
          <w:r>
            <w:rPr>
              <w:highlight w:val="none"/>
            </w:rPr>
            <w:fldChar w:fldCharType="begin"/>
          </w:r>
          <w:r>
            <w:rPr>
              <w:highlight w:val="none"/>
            </w:rPr>
            <w:instrText xml:space="preserve"> PAGEREF _Toc17806 \h </w:instrText>
          </w:r>
          <w:r>
            <w:rPr>
              <w:highlight w:val="none"/>
            </w:rPr>
            <w:fldChar w:fldCharType="separate"/>
          </w:r>
          <w:r>
            <w:rPr>
              <w:highlight w:val="none"/>
            </w:rPr>
            <w:t>1</w:t>
          </w:r>
          <w:r>
            <w:rPr>
              <w:highlight w:val="none"/>
            </w:rPr>
            <w:fldChar w:fldCharType="end"/>
          </w:r>
          <w:r>
            <w:rPr>
              <w:highlight w:val="none"/>
            </w:rPr>
            <w:fldChar w:fldCharType="end"/>
          </w:r>
        </w:p>
        <w:p>
          <w:pPr>
            <w:pStyle w:val="33"/>
            <w:tabs>
              <w:tab w:val="right" w:leader="dot" w:pos="8306"/>
            </w:tabs>
            <w:rPr>
              <w:b/>
              <w:highlight w:val="none"/>
            </w:rPr>
          </w:pPr>
          <w:r>
            <w:rPr>
              <w:b/>
              <w:highlight w:val="none"/>
            </w:rPr>
            <w:fldChar w:fldCharType="begin"/>
          </w:r>
          <w:r>
            <w:rPr>
              <w:b/>
              <w:highlight w:val="none"/>
            </w:rPr>
            <w:instrText xml:space="preserve"> HYPERLINK \l _Toc13970 </w:instrText>
          </w:r>
          <w:r>
            <w:rPr>
              <w:b/>
              <w:highlight w:val="none"/>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highlight w:val="none"/>
            </w:rPr>
            <w:tab/>
          </w:r>
          <w:r>
            <w:rPr>
              <w:b/>
              <w:highlight w:val="none"/>
            </w:rPr>
            <w:fldChar w:fldCharType="begin"/>
          </w:r>
          <w:r>
            <w:rPr>
              <w:b/>
              <w:highlight w:val="none"/>
            </w:rPr>
            <w:instrText xml:space="preserve"> PAGEREF _Toc13970 \h </w:instrText>
          </w:r>
          <w:r>
            <w:rPr>
              <w:b/>
              <w:highlight w:val="none"/>
            </w:rPr>
            <w:fldChar w:fldCharType="separate"/>
          </w:r>
          <w:r>
            <w:rPr>
              <w:b/>
              <w:highlight w:val="none"/>
            </w:rPr>
            <w:t>2</w:t>
          </w:r>
          <w:r>
            <w:rPr>
              <w:b/>
              <w:highlight w:val="none"/>
            </w:rPr>
            <w:fldChar w:fldCharType="end"/>
          </w:r>
          <w:r>
            <w:rPr>
              <w:b/>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_Toc13200 </w:instrText>
          </w:r>
          <w:r>
            <w:rPr>
              <w:highlight w:val="none"/>
            </w:rPr>
            <w:fldChar w:fldCharType="separate"/>
          </w:r>
          <w:r>
            <w:rPr>
              <w:rFonts w:hint="default" w:ascii="黑体" w:hAnsi="黑体" w:eastAsia="黑体"/>
              <w:highlight w:val="none"/>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rPr>
              <w:highlight w:val="none"/>
            </w:rPr>
            <w:tab/>
          </w:r>
          <w:r>
            <w:rPr>
              <w:highlight w:val="none"/>
            </w:rPr>
            <w:fldChar w:fldCharType="begin"/>
          </w:r>
          <w:r>
            <w:rPr>
              <w:highlight w:val="none"/>
            </w:rPr>
            <w:instrText xml:space="preserve"> PAGEREF _Toc13200 \h </w:instrText>
          </w:r>
          <w:r>
            <w:rPr>
              <w:highlight w:val="none"/>
            </w:rPr>
            <w:fldChar w:fldCharType="separate"/>
          </w:r>
          <w:r>
            <w:rPr>
              <w:highlight w:val="none"/>
            </w:rPr>
            <w:t>2</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_Toc9014 </w:instrText>
          </w:r>
          <w:r>
            <w:rPr>
              <w:highlight w:val="none"/>
            </w:rPr>
            <w:fldChar w:fldCharType="separate"/>
          </w:r>
          <w:r>
            <w:rPr>
              <w:rFonts w:hint="eastAsia" w:ascii="黑体" w:hAnsi="黑体" w:eastAsia="黑体"/>
              <w:szCs w:val="32"/>
              <w:highlight w:val="none"/>
              <w:lang w:eastAsia="zh-CN"/>
            </w:rPr>
            <w:t>二、</w:t>
          </w:r>
          <w:r>
            <w:rPr>
              <w:rFonts w:hint="eastAsia" w:ascii="黑体" w:hAnsi="黑体" w:eastAsia="黑体"/>
              <w:szCs w:val="32"/>
              <w:highlight w:val="none"/>
            </w:rPr>
            <w:t>收</w:t>
          </w:r>
          <w:r>
            <w:rPr>
              <w:rFonts w:hint="eastAsia" w:ascii="黑体" w:hAnsi="黑体" w:eastAsia="黑体"/>
              <w:highlight w:val="none"/>
            </w:rPr>
            <w:t>入决算情况说明</w:t>
          </w:r>
          <w:r>
            <w:rPr>
              <w:highlight w:val="none"/>
            </w:rPr>
            <w:tab/>
          </w:r>
          <w:r>
            <w:rPr>
              <w:highlight w:val="none"/>
            </w:rPr>
            <w:fldChar w:fldCharType="begin"/>
          </w:r>
          <w:r>
            <w:rPr>
              <w:highlight w:val="none"/>
            </w:rPr>
            <w:instrText xml:space="preserve"> PAGEREF _Toc9014 \h </w:instrText>
          </w:r>
          <w:r>
            <w:rPr>
              <w:highlight w:val="none"/>
            </w:rPr>
            <w:fldChar w:fldCharType="separate"/>
          </w:r>
          <w:r>
            <w:rPr>
              <w:highlight w:val="none"/>
            </w:rPr>
            <w:t>2</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_Toc18672 </w:instrText>
          </w:r>
          <w:r>
            <w:rPr>
              <w:highlight w:val="none"/>
            </w:rPr>
            <w:fldChar w:fldCharType="separate"/>
          </w:r>
          <w:r>
            <w:rPr>
              <w:rFonts w:hint="eastAsia" w:ascii="黑体" w:hAnsi="黑体" w:eastAsia="黑体"/>
              <w:szCs w:val="32"/>
              <w:highlight w:val="none"/>
              <w:lang w:eastAsia="zh-CN"/>
            </w:rPr>
            <w:t>三、</w:t>
          </w:r>
          <w:r>
            <w:rPr>
              <w:rFonts w:hint="eastAsia" w:ascii="黑体" w:hAnsi="黑体" w:eastAsia="黑体"/>
              <w:szCs w:val="32"/>
              <w:highlight w:val="none"/>
            </w:rPr>
            <w:t>支</w:t>
          </w:r>
          <w:r>
            <w:rPr>
              <w:rFonts w:hint="eastAsia" w:ascii="黑体" w:hAnsi="黑体" w:eastAsia="黑体"/>
              <w:highlight w:val="none"/>
            </w:rPr>
            <w:t>出决算情况说明</w:t>
          </w:r>
          <w:r>
            <w:rPr>
              <w:highlight w:val="none"/>
            </w:rPr>
            <w:tab/>
          </w:r>
          <w:r>
            <w:rPr>
              <w:highlight w:val="none"/>
            </w:rPr>
            <w:fldChar w:fldCharType="begin"/>
          </w:r>
          <w:r>
            <w:rPr>
              <w:highlight w:val="none"/>
            </w:rPr>
            <w:instrText xml:space="preserve"> PAGEREF _Toc18672 \h </w:instrText>
          </w:r>
          <w:r>
            <w:rPr>
              <w:highlight w:val="none"/>
            </w:rPr>
            <w:fldChar w:fldCharType="separate"/>
          </w:r>
          <w:r>
            <w:rPr>
              <w:highlight w:val="none"/>
            </w:rPr>
            <w:t>3</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_Toc30873 </w:instrText>
          </w:r>
          <w:r>
            <w:rPr>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rPr>
              <w:highlight w:val="none"/>
            </w:rPr>
            <w:tab/>
          </w:r>
          <w:r>
            <w:rPr>
              <w:highlight w:val="none"/>
            </w:rPr>
            <w:fldChar w:fldCharType="begin"/>
          </w:r>
          <w:r>
            <w:rPr>
              <w:highlight w:val="none"/>
            </w:rPr>
            <w:instrText xml:space="preserve"> PAGEREF _Toc30873 \h </w:instrText>
          </w:r>
          <w:r>
            <w:rPr>
              <w:highlight w:val="none"/>
            </w:rPr>
            <w:fldChar w:fldCharType="separate"/>
          </w:r>
          <w:r>
            <w:rPr>
              <w:highlight w:val="none"/>
            </w:rPr>
            <w:t>3</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_Toc11500 </w:instrText>
          </w:r>
          <w:r>
            <w:rPr>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rPr>
              <w:highlight w:val="none"/>
            </w:rPr>
            <w:tab/>
          </w:r>
          <w:r>
            <w:rPr>
              <w:highlight w:val="none"/>
            </w:rPr>
            <w:fldChar w:fldCharType="begin"/>
          </w:r>
          <w:r>
            <w:rPr>
              <w:highlight w:val="none"/>
            </w:rPr>
            <w:instrText xml:space="preserve"> PAGEREF _Toc11500 \h </w:instrText>
          </w:r>
          <w:r>
            <w:rPr>
              <w:highlight w:val="none"/>
            </w:rPr>
            <w:fldChar w:fldCharType="separate"/>
          </w:r>
          <w:r>
            <w:rPr>
              <w:highlight w:val="none"/>
            </w:rPr>
            <w:t>4</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_Toc10425 </w:instrText>
          </w:r>
          <w:r>
            <w:rPr>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rPr>
              <w:highlight w:val="none"/>
            </w:rPr>
            <w:tab/>
          </w:r>
          <w:r>
            <w:rPr>
              <w:highlight w:val="none"/>
            </w:rPr>
            <w:fldChar w:fldCharType="begin"/>
          </w:r>
          <w:r>
            <w:rPr>
              <w:highlight w:val="none"/>
            </w:rPr>
            <w:instrText xml:space="preserve"> PAGEREF _Toc10425 \h </w:instrText>
          </w:r>
          <w:r>
            <w:rPr>
              <w:highlight w:val="none"/>
            </w:rPr>
            <w:fldChar w:fldCharType="separate"/>
          </w:r>
          <w:r>
            <w:rPr>
              <w:highlight w:val="none"/>
            </w:rPr>
            <w:t>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_Toc8539 </w:instrText>
          </w:r>
          <w:r>
            <w:rPr>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rPr>
              <w:highlight w:val="none"/>
            </w:rPr>
            <w:tab/>
          </w:r>
          <w:r>
            <w:rPr>
              <w:highlight w:val="none"/>
            </w:rPr>
            <w:fldChar w:fldCharType="begin"/>
          </w:r>
          <w:r>
            <w:rPr>
              <w:highlight w:val="none"/>
            </w:rPr>
            <w:instrText xml:space="preserve"> PAGEREF _Toc8539 \h </w:instrText>
          </w:r>
          <w:r>
            <w:rPr>
              <w:highlight w:val="none"/>
            </w:rPr>
            <w:fldChar w:fldCharType="separate"/>
          </w:r>
          <w:r>
            <w:rPr>
              <w:highlight w:val="none"/>
            </w:rPr>
            <w:t>7</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_Toc5376 </w:instrText>
          </w:r>
          <w:r>
            <w:rPr>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rPr>
              <w:highlight w:val="none"/>
            </w:rPr>
            <w:tab/>
          </w:r>
          <w:r>
            <w:rPr>
              <w:highlight w:val="none"/>
            </w:rPr>
            <w:fldChar w:fldCharType="begin"/>
          </w:r>
          <w:r>
            <w:rPr>
              <w:highlight w:val="none"/>
            </w:rPr>
            <w:instrText xml:space="preserve"> PAGEREF _Toc5376 \h </w:instrText>
          </w:r>
          <w:r>
            <w:rPr>
              <w:highlight w:val="none"/>
            </w:rPr>
            <w:fldChar w:fldCharType="separate"/>
          </w:r>
          <w:r>
            <w:rPr>
              <w:highlight w:val="none"/>
            </w:rPr>
            <w:t>8</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_Toc22818 </w:instrText>
          </w:r>
          <w:r>
            <w:rPr>
              <w:highlight w:val="none"/>
            </w:rPr>
            <w:fldChar w:fldCharType="separate"/>
          </w:r>
          <w:r>
            <w:rPr>
              <w:rFonts w:hint="eastAsia" w:ascii="黑体" w:hAnsi="黑体" w:eastAsia="黑体"/>
              <w:highlight w:val="none"/>
            </w:rPr>
            <w:t>九、 国有资本经营预算支出决算情况说明</w:t>
          </w:r>
          <w:r>
            <w:rPr>
              <w:highlight w:val="none"/>
            </w:rPr>
            <w:tab/>
          </w:r>
          <w:r>
            <w:rPr>
              <w:highlight w:val="none"/>
            </w:rPr>
            <w:fldChar w:fldCharType="begin"/>
          </w:r>
          <w:r>
            <w:rPr>
              <w:highlight w:val="none"/>
            </w:rPr>
            <w:instrText xml:space="preserve"> PAGEREF _Toc22818 \h </w:instrText>
          </w:r>
          <w:r>
            <w:rPr>
              <w:highlight w:val="none"/>
            </w:rPr>
            <w:fldChar w:fldCharType="separate"/>
          </w:r>
          <w:r>
            <w:rPr>
              <w:highlight w:val="none"/>
            </w:rPr>
            <w:t>8</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_Toc18552 </w:instrText>
          </w:r>
          <w:r>
            <w:rPr>
              <w:highlight w:val="none"/>
            </w:rPr>
            <w:fldChar w:fldCharType="separate"/>
          </w:r>
          <w:r>
            <w:rPr>
              <w:rFonts w:hint="eastAsia" w:ascii="黑体" w:hAnsi="黑体" w:eastAsia="黑体"/>
              <w:highlight w:val="none"/>
            </w:rPr>
            <w:t>十、 其他重要事项的情况说明</w:t>
          </w:r>
          <w:r>
            <w:rPr>
              <w:highlight w:val="none"/>
            </w:rPr>
            <w:tab/>
          </w:r>
          <w:r>
            <w:rPr>
              <w:highlight w:val="none"/>
            </w:rPr>
            <w:fldChar w:fldCharType="begin"/>
          </w:r>
          <w:r>
            <w:rPr>
              <w:highlight w:val="none"/>
            </w:rPr>
            <w:instrText xml:space="preserve"> PAGEREF _Toc18552 \h </w:instrText>
          </w:r>
          <w:r>
            <w:rPr>
              <w:highlight w:val="none"/>
            </w:rPr>
            <w:fldChar w:fldCharType="separate"/>
          </w:r>
          <w:r>
            <w:rPr>
              <w:highlight w:val="none"/>
            </w:rPr>
            <w:t>8</w:t>
          </w:r>
          <w:r>
            <w:rPr>
              <w:highlight w:val="none"/>
            </w:rPr>
            <w:fldChar w:fldCharType="end"/>
          </w:r>
          <w:r>
            <w:rPr>
              <w:highlight w:val="none"/>
            </w:rPr>
            <w:fldChar w:fldCharType="end"/>
          </w:r>
        </w:p>
        <w:p>
          <w:pPr>
            <w:pStyle w:val="33"/>
            <w:tabs>
              <w:tab w:val="right" w:leader="dot" w:pos="8306"/>
            </w:tabs>
            <w:rPr>
              <w:b/>
              <w:highlight w:val="none"/>
            </w:rPr>
          </w:pPr>
          <w:r>
            <w:rPr>
              <w:b/>
              <w:highlight w:val="none"/>
            </w:rPr>
            <w:fldChar w:fldCharType="begin"/>
          </w:r>
          <w:r>
            <w:rPr>
              <w:b/>
              <w:highlight w:val="none"/>
            </w:rPr>
            <w:instrText xml:space="preserve"> HYPERLINK \l _Toc15475 </w:instrText>
          </w:r>
          <w:r>
            <w:rPr>
              <w:b/>
              <w:highlight w:val="none"/>
            </w:rPr>
            <w:fldChar w:fldCharType="separate"/>
          </w:r>
          <w:r>
            <w:rPr>
              <w:rFonts w:hint="eastAsia" w:ascii="黑体" w:hAnsi="黑体" w:eastAsia="黑体" w:cs="黑体"/>
              <w:b/>
              <w:szCs w:val="44"/>
              <w:highlight w:val="none"/>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highlight w:val="none"/>
            </w:rPr>
            <w:tab/>
          </w:r>
          <w:r>
            <w:rPr>
              <w:b/>
              <w:highlight w:val="none"/>
            </w:rPr>
            <w:fldChar w:fldCharType="begin"/>
          </w:r>
          <w:r>
            <w:rPr>
              <w:b/>
              <w:highlight w:val="none"/>
            </w:rPr>
            <w:instrText xml:space="preserve"> PAGEREF _Toc15475 \h </w:instrText>
          </w:r>
          <w:r>
            <w:rPr>
              <w:b/>
              <w:highlight w:val="none"/>
            </w:rPr>
            <w:fldChar w:fldCharType="separate"/>
          </w:r>
          <w:r>
            <w:rPr>
              <w:b/>
              <w:highlight w:val="none"/>
            </w:rPr>
            <w:t>10</w:t>
          </w:r>
          <w:r>
            <w:rPr>
              <w:b/>
              <w:highlight w:val="none"/>
            </w:rPr>
            <w:fldChar w:fldCharType="end"/>
          </w:r>
          <w:r>
            <w:rPr>
              <w:b/>
              <w:highlight w:val="none"/>
            </w:rPr>
            <w:fldChar w:fldCharType="end"/>
          </w:r>
        </w:p>
        <w:p>
          <w:pPr>
            <w:pStyle w:val="33"/>
            <w:tabs>
              <w:tab w:val="right" w:leader="dot" w:pos="8306"/>
            </w:tabs>
            <w:rPr>
              <w:b/>
              <w:highlight w:val="none"/>
            </w:rPr>
          </w:pPr>
          <w:r>
            <w:rPr>
              <w:b/>
              <w:highlight w:val="none"/>
            </w:rPr>
            <w:fldChar w:fldCharType="begin"/>
          </w:r>
          <w:r>
            <w:rPr>
              <w:b/>
              <w:highlight w:val="none"/>
            </w:rPr>
            <w:instrText xml:space="preserve"> HYPERLINK \l _Toc3754 </w:instrText>
          </w:r>
          <w:r>
            <w:rPr>
              <w:b/>
              <w:highlight w:val="none"/>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highlight w:val="none"/>
            </w:rPr>
            <w:tab/>
          </w:r>
          <w:r>
            <w:rPr>
              <w:b/>
              <w:highlight w:val="none"/>
            </w:rPr>
            <w:fldChar w:fldCharType="begin"/>
          </w:r>
          <w:r>
            <w:rPr>
              <w:b/>
              <w:highlight w:val="none"/>
            </w:rPr>
            <w:instrText xml:space="preserve"> PAGEREF _Toc3754 \h </w:instrText>
          </w:r>
          <w:r>
            <w:rPr>
              <w:b/>
              <w:highlight w:val="none"/>
            </w:rPr>
            <w:fldChar w:fldCharType="separate"/>
          </w:r>
          <w:r>
            <w:rPr>
              <w:b/>
              <w:highlight w:val="none"/>
            </w:rPr>
            <w:t>12</w:t>
          </w:r>
          <w:r>
            <w:rPr>
              <w:b/>
              <w:highlight w:val="none"/>
            </w:rPr>
            <w:fldChar w:fldCharType="end"/>
          </w:r>
          <w:r>
            <w:rPr>
              <w:b/>
              <w:highlight w:val="none"/>
            </w:rPr>
            <w:fldChar w:fldCharType="end"/>
          </w:r>
        </w:p>
        <w:p>
          <w:pPr>
            <w:pStyle w:val="33"/>
            <w:tabs>
              <w:tab w:val="right" w:leader="dot" w:pos="8306"/>
            </w:tabs>
            <w:rPr>
              <w:b/>
              <w:highlight w:val="none"/>
            </w:rPr>
          </w:pPr>
          <w:r>
            <w:rPr>
              <w:b/>
              <w:highlight w:val="none"/>
            </w:rPr>
            <w:fldChar w:fldCharType="begin"/>
          </w:r>
          <w:r>
            <w:rPr>
              <w:b/>
              <w:highlight w:val="none"/>
            </w:rPr>
            <w:instrText xml:space="preserve"> HYPERLINK \l _Toc10913 </w:instrText>
          </w:r>
          <w:r>
            <w:rPr>
              <w:b/>
              <w:highlight w:val="none"/>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highlight w:val="none"/>
            </w:rPr>
            <w:tab/>
          </w:r>
          <w:r>
            <w:rPr>
              <w:b/>
              <w:highlight w:val="none"/>
            </w:rPr>
            <w:fldChar w:fldCharType="begin"/>
          </w:r>
          <w:r>
            <w:rPr>
              <w:b/>
              <w:highlight w:val="none"/>
            </w:rPr>
            <w:instrText xml:space="preserve"> PAGEREF _Toc10913 \h </w:instrText>
          </w:r>
          <w:r>
            <w:rPr>
              <w:b/>
              <w:highlight w:val="none"/>
            </w:rPr>
            <w:fldChar w:fldCharType="separate"/>
          </w:r>
          <w:r>
            <w:rPr>
              <w:b/>
              <w:highlight w:val="none"/>
            </w:rPr>
            <w:t>26</w:t>
          </w:r>
          <w:r>
            <w:rPr>
              <w:b/>
              <w:highlight w:val="none"/>
            </w:rPr>
            <w:fldChar w:fldCharType="end"/>
          </w:r>
          <w:r>
            <w:rPr>
              <w:b/>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_Toc12916 </w:instrText>
          </w:r>
          <w:r>
            <w:rPr>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rPr>
              <w:highlight w:val="none"/>
            </w:rPr>
            <w:tab/>
          </w:r>
          <w:r>
            <w:rPr>
              <w:highlight w:val="none"/>
            </w:rPr>
            <w:fldChar w:fldCharType="begin"/>
          </w:r>
          <w:r>
            <w:rPr>
              <w:highlight w:val="none"/>
            </w:rPr>
            <w:instrText xml:space="preserve"> PAGEREF _Toc12916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_Toc20548 </w:instrText>
          </w:r>
          <w:r>
            <w:rPr>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rPr>
              <w:highlight w:val="none"/>
            </w:rPr>
            <w:tab/>
          </w:r>
          <w:r>
            <w:rPr>
              <w:highlight w:val="none"/>
            </w:rPr>
            <w:fldChar w:fldCharType="begin"/>
          </w:r>
          <w:r>
            <w:rPr>
              <w:highlight w:val="none"/>
            </w:rPr>
            <w:instrText xml:space="preserve"> PAGEREF _Toc20548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_Toc17071 </w:instrText>
          </w:r>
          <w:r>
            <w:rPr>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rPr>
              <w:highlight w:val="none"/>
            </w:rPr>
            <w:tab/>
          </w:r>
          <w:r>
            <w:rPr>
              <w:highlight w:val="none"/>
            </w:rPr>
            <w:fldChar w:fldCharType="begin"/>
          </w:r>
          <w:r>
            <w:rPr>
              <w:highlight w:val="none"/>
            </w:rPr>
            <w:instrText xml:space="preserve"> PAGEREF _Toc17071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_Toc1230 </w:instrText>
          </w:r>
          <w:r>
            <w:rPr>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rPr>
              <w:highlight w:val="none"/>
            </w:rPr>
            <w:tab/>
          </w:r>
          <w:r>
            <w:rPr>
              <w:highlight w:val="none"/>
            </w:rPr>
            <w:fldChar w:fldCharType="begin"/>
          </w:r>
          <w:r>
            <w:rPr>
              <w:highlight w:val="none"/>
            </w:rPr>
            <w:instrText xml:space="preserve"> PAGEREF _Toc1230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_Toc15229 </w:instrText>
          </w:r>
          <w:r>
            <w:rPr>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rPr>
              <w:highlight w:val="none"/>
            </w:rPr>
            <w:tab/>
          </w:r>
          <w:r>
            <w:rPr>
              <w:highlight w:val="none"/>
            </w:rPr>
            <w:fldChar w:fldCharType="begin"/>
          </w:r>
          <w:r>
            <w:rPr>
              <w:highlight w:val="none"/>
            </w:rPr>
            <w:instrText xml:space="preserve"> PAGEREF _Toc15229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_Toc1206 </w:instrText>
          </w:r>
          <w:r>
            <w:rPr>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rPr>
              <w:highlight w:val="none"/>
            </w:rPr>
            <w:tab/>
          </w:r>
          <w:r>
            <w:rPr>
              <w:highlight w:val="none"/>
            </w:rPr>
            <w:fldChar w:fldCharType="begin"/>
          </w:r>
          <w:r>
            <w:rPr>
              <w:highlight w:val="none"/>
            </w:rPr>
            <w:instrText xml:space="preserve"> PAGEREF _Toc1206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_Toc29678 </w:instrText>
          </w:r>
          <w:r>
            <w:rPr>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rPr>
              <w:highlight w:val="none"/>
            </w:rPr>
            <w:tab/>
          </w:r>
          <w:r>
            <w:rPr>
              <w:highlight w:val="none"/>
            </w:rPr>
            <w:fldChar w:fldCharType="begin"/>
          </w:r>
          <w:r>
            <w:rPr>
              <w:highlight w:val="none"/>
            </w:rPr>
            <w:instrText xml:space="preserve"> PAGEREF _Toc29678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_Toc19858 </w:instrText>
          </w:r>
          <w:r>
            <w:rPr>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rPr>
              <w:highlight w:val="none"/>
            </w:rPr>
            <w:tab/>
          </w:r>
          <w:r>
            <w:rPr>
              <w:highlight w:val="none"/>
            </w:rPr>
            <w:fldChar w:fldCharType="begin"/>
          </w:r>
          <w:r>
            <w:rPr>
              <w:highlight w:val="none"/>
            </w:rPr>
            <w:instrText xml:space="preserve"> PAGEREF _Toc19858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_Toc29424 </w:instrText>
          </w:r>
          <w:r>
            <w:rPr>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rPr>
              <w:highlight w:val="none"/>
            </w:rPr>
            <w:tab/>
          </w:r>
          <w:r>
            <w:rPr>
              <w:highlight w:val="none"/>
            </w:rPr>
            <w:fldChar w:fldCharType="begin"/>
          </w:r>
          <w:r>
            <w:rPr>
              <w:highlight w:val="none"/>
            </w:rPr>
            <w:instrText xml:space="preserve"> PAGEREF _Toc29424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_Toc13158 </w:instrText>
          </w:r>
          <w:r>
            <w:rPr>
              <w:highlight w:val="none"/>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rPr>
              <w:highlight w:val="none"/>
            </w:rPr>
            <w:tab/>
          </w:r>
          <w:r>
            <w:rPr>
              <w:highlight w:val="none"/>
            </w:rPr>
            <w:fldChar w:fldCharType="begin"/>
          </w:r>
          <w:r>
            <w:rPr>
              <w:highlight w:val="none"/>
            </w:rPr>
            <w:instrText xml:space="preserve"> PAGEREF _Toc13158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_Toc18952 </w:instrText>
          </w:r>
          <w:r>
            <w:rPr>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rPr>
              <w:highlight w:val="none"/>
            </w:rPr>
            <w:tab/>
          </w:r>
          <w:r>
            <w:rPr>
              <w:highlight w:val="none"/>
            </w:rPr>
            <w:fldChar w:fldCharType="begin"/>
          </w:r>
          <w:r>
            <w:rPr>
              <w:highlight w:val="none"/>
            </w:rPr>
            <w:instrText xml:space="preserve"> PAGEREF _Toc18952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_Toc261 </w:instrText>
          </w:r>
          <w:r>
            <w:rPr>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rPr>
              <w:highlight w:val="none"/>
            </w:rPr>
            <w:tab/>
          </w:r>
          <w:r>
            <w:rPr>
              <w:highlight w:val="none"/>
            </w:rPr>
            <w:fldChar w:fldCharType="begin"/>
          </w:r>
          <w:r>
            <w:rPr>
              <w:highlight w:val="none"/>
            </w:rPr>
            <w:instrText xml:space="preserve"> PAGEREF _Toc261 \h </w:instrText>
          </w:r>
          <w:r>
            <w:rPr>
              <w:highlight w:val="none"/>
            </w:rPr>
            <w:fldChar w:fldCharType="separate"/>
          </w:r>
          <w:r>
            <w:rPr>
              <w:highlight w:val="none"/>
            </w:rPr>
            <w:t>26</w:t>
          </w:r>
          <w:r>
            <w:rPr>
              <w:highlight w:val="none"/>
            </w:rPr>
            <w:fldChar w:fldCharType="end"/>
          </w:r>
          <w:r>
            <w:rPr>
              <w:highlight w:val="none"/>
            </w:rPr>
            <w:fldChar w:fldCharType="end"/>
          </w:r>
        </w:p>
        <w:p>
          <w:pPr>
            <w:pStyle w:val="34"/>
            <w:tabs>
              <w:tab w:val="right" w:leader="dot" w:pos="8306"/>
            </w:tabs>
            <w:rPr>
              <w:highlight w:val="none"/>
            </w:rPr>
          </w:pPr>
          <w:r>
            <w:rPr>
              <w:highlight w:val="none"/>
            </w:rPr>
            <w:fldChar w:fldCharType="begin"/>
          </w:r>
          <w:r>
            <w:rPr>
              <w:highlight w:val="none"/>
            </w:rPr>
            <w:instrText xml:space="preserve"> HYPERLINK \l _Toc8850 </w:instrText>
          </w:r>
          <w:r>
            <w:rPr>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rPr>
              <w:highlight w:val="none"/>
            </w:rPr>
            <w:tab/>
          </w:r>
          <w:r>
            <w:rPr>
              <w:highlight w:val="none"/>
            </w:rPr>
            <w:fldChar w:fldCharType="begin"/>
          </w:r>
          <w:r>
            <w:rPr>
              <w:highlight w:val="none"/>
            </w:rPr>
            <w:instrText xml:space="preserve"> PAGEREF _Toc8850 \h </w:instrText>
          </w:r>
          <w:r>
            <w:rPr>
              <w:highlight w:val="none"/>
            </w:rPr>
            <w:fldChar w:fldCharType="separate"/>
          </w:r>
          <w:r>
            <w:rPr>
              <w:highlight w:val="none"/>
            </w:rPr>
            <w:t>26</w:t>
          </w:r>
          <w:r>
            <w:rPr>
              <w:highlight w:val="none"/>
            </w:rPr>
            <w:fldChar w:fldCharType="end"/>
          </w:r>
          <w:r>
            <w:rPr>
              <w:highlight w:val="none"/>
            </w:rPr>
            <w:fldChar w:fldCharType="end"/>
          </w:r>
        </w:p>
        <w:p>
          <w:pPr>
            <w:rPr>
              <w:highlight w:val="none"/>
            </w:rPr>
          </w:pPr>
          <w:r>
            <w:rPr>
              <w:b/>
              <w:highlight w:val="none"/>
            </w:rPr>
            <w:fldChar w:fldCharType="end"/>
          </w:r>
        </w:p>
      </w:sdtContent>
    </w:sdt>
    <w:p>
      <w:pPr>
        <w:keepNext w:val="0"/>
        <w:keepLines w:val="0"/>
        <w:pageBreakBefore w:val="0"/>
        <w:widowControl/>
        <w:kinsoku/>
        <w:wordWrap/>
        <w:overflowPunct/>
        <w:topLinePunct w:val="0"/>
        <w:autoSpaceDE/>
        <w:autoSpaceDN/>
        <w:bidi w:val="0"/>
        <w:spacing w:line="456" w:lineRule="exact"/>
        <w:jc w:val="center"/>
        <w:textAlignment w:val="auto"/>
        <w:outlineLvl w:val="0"/>
        <w:rPr>
          <w:rStyle w:val="18"/>
          <w:rFonts w:hint="eastAsia" w:ascii="黑体" w:hAnsi="黑体" w:eastAsia="黑体"/>
          <w:b w:val="0"/>
          <w:bCs w:val="0"/>
          <w:color w:val="auto"/>
          <w:highlight w:val="none"/>
        </w:rPr>
        <w:sectPr>
          <w:headerReference r:id="rId4" w:type="first"/>
          <w:footerReference r:id="rId6" w:type="first"/>
          <w:headerReference r:id="rId3" w:type="default"/>
          <w:footerReference r:id="rId5" w:type="default"/>
          <w:pgSz w:w="11906" w:h="16838"/>
          <w:pgMar w:top="1440" w:right="1349" w:bottom="1440" w:left="1463" w:header="851" w:footer="992" w:gutter="0"/>
          <w:pgNumType w:fmt="numberInDash"/>
          <w:cols w:space="0" w:num="1"/>
          <w:titlePg/>
          <w:rtlGutter w:val="0"/>
          <w:docGrid w:type="lines" w:linePitch="312" w:charSpace="0"/>
        </w:sectPr>
      </w:pPr>
      <w:bookmarkStart w:id="16" w:name="_Toc26185"/>
    </w:p>
    <w:p>
      <w:pPr>
        <w:keepNext w:val="0"/>
        <w:keepLines w:val="0"/>
        <w:pageBreakBefore w:val="0"/>
        <w:widowControl/>
        <w:kinsoku/>
        <w:wordWrap/>
        <w:overflowPunct/>
        <w:topLinePunct w:val="0"/>
        <w:autoSpaceDE/>
        <w:autoSpaceDN/>
        <w:bidi w:val="0"/>
        <w:spacing w:line="456" w:lineRule="exact"/>
        <w:jc w:val="center"/>
        <w:textAlignment w:val="auto"/>
        <w:outlineLvl w:val="0"/>
        <w:rPr>
          <w:rStyle w:val="18"/>
          <w:rFonts w:hint="eastAsia" w:ascii="黑体" w:hAnsi="黑体" w:eastAsia="黑体"/>
          <w:b w:val="0"/>
          <w:bCs w:val="0"/>
          <w:color w:val="auto"/>
          <w:highlight w:val="none"/>
        </w:rPr>
      </w:pPr>
      <w:r>
        <w:rPr>
          <w:rStyle w:val="18"/>
          <w:rFonts w:hint="eastAsia" w:ascii="黑体" w:hAnsi="黑体" w:eastAsia="黑体"/>
          <w:b w:val="0"/>
          <w:bCs w:val="0"/>
          <w:color w:val="auto"/>
          <w:highlight w:val="none"/>
        </w:rPr>
        <w:t xml:space="preserve">第一部分 </w:t>
      </w:r>
      <w:r>
        <w:rPr>
          <w:rStyle w:val="18"/>
          <w:rFonts w:hint="eastAsia" w:ascii="黑体" w:hAnsi="黑体" w:eastAsia="黑体"/>
          <w:b w:val="0"/>
          <w:bCs w:val="0"/>
          <w:color w:val="auto"/>
          <w:highlight w:val="none"/>
          <w:lang w:eastAsia="zh-CN"/>
        </w:rPr>
        <w:t>单位</w:t>
      </w:r>
      <w:r>
        <w:rPr>
          <w:rStyle w:val="18"/>
          <w:rFonts w:hint="eastAsia" w:ascii="黑体" w:hAnsi="黑体" w:eastAsia="黑体"/>
          <w:b w:val="0"/>
          <w:bCs w:val="0"/>
          <w:color w:val="auto"/>
          <w:highlight w:val="none"/>
        </w:rPr>
        <w:t>概况</w:t>
      </w:r>
      <w:bookmarkEnd w:id="14"/>
      <w:bookmarkEnd w:id="15"/>
      <w:bookmarkEnd w:id="16"/>
    </w:p>
    <w:p>
      <w:pPr>
        <w:pStyle w:val="4"/>
        <w:keepNext/>
        <w:keepLines/>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eastAsia="zh-CN"/>
        </w:rPr>
      </w:pPr>
      <w:bookmarkStart w:id="17" w:name="_Toc26484"/>
      <w:bookmarkStart w:id="18" w:name="_Toc15396600"/>
      <w:bookmarkStart w:id="19" w:name="_Toc15377197"/>
      <w:r>
        <w:rPr>
          <w:rStyle w:val="19"/>
          <w:rFonts w:hint="eastAsia" w:ascii="黑体" w:hAnsi="黑体" w:eastAsia="黑体" w:cs="黑体"/>
          <w:b w:val="0"/>
          <w:bCs w:val="0"/>
          <w:color w:val="auto"/>
          <w:sz w:val="32"/>
          <w:szCs w:val="32"/>
          <w:highlight w:val="none"/>
          <w:lang w:eastAsia="zh-CN"/>
        </w:rPr>
        <w:t>一、主要职责</w:t>
      </w:r>
      <w:bookmarkEnd w:id="17"/>
    </w:p>
    <w:p>
      <w:pPr>
        <w:pStyle w:val="4"/>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highlight w:val="none"/>
        </w:rPr>
      </w:pPr>
      <w:bookmarkStart w:id="20" w:name="_Toc32249"/>
      <w:r>
        <w:rPr>
          <w:rFonts w:hint="eastAsia" w:ascii="仿宋_GB2312" w:hAnsi="仿宋_GB2312" w:eastAsia="仿宋_GB2312" w:cs="仿宋_GB2312"/>
          <w:b w:val="0"/>
          <w:bCs w:val="0"/>
          <w:sz w:val="32"/>
          <w:szCs w:val="32"/>
          <w:highlight w:val="none"/>
        </w:rPr>
        <w:t>承担市本级青少年业余体育训练、管理工作；承担</w:t>
      </w:r>
      <w:r>
        <w:rPr>
          <w:rFonts w:hint="eastAsia" w:ascii="仿宋_GB2312" w:hAnsi="仿宋_GB2312" w:eastAsia="仿宋_GB2312" w:cs="仿宋_GB2312"/>
          <w:b w:val="0"/>
          <w:bCs w:val="0"/>
          <w:sz w:val="32"/>
          <w:szCs w:val="32"/>
          <w:highlight w:val="none"/>
          <w:lang w:eastAsia="zh-CN"/>
        </w:rPr>
        <w:t>代表广元市参加每四年一届的省运会目标任务及</w:t>
      </w:r>
      <w:r>
        <w:rPr>
          <w:rFonts w:hint="eastAsia" w:ascii="仿宋_GB2312" w:hAnsi="仿宋_GB2312" w:eastAsia="仿宋_GB2312" w:cs="仿宋_GB2312"/>
          <w:b w:val="0"/>
          <w:bCs w:val="0"/>
          <w:sz w:val="32"/>
          <w:szCs w:val="32"/>
          <w:highlight w:val="none"/>
        </w:rPr>
        <w:t>市以上比赛任务的组队、训练、参赛工作；负责选拔、培养、储备、输送高水平体育人才；承担体教融合发展相关工作。</w:t>
      </w:r>
      <w:bookmarkEnd w:id="20"/>
    </w:p>
    <w:p>
      <w:pPr>
        <w:pStyle w:val="4"/>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color w:val="auto"/>
          <w:sz w:val="32"/>
          <w:szCs w:val="32"/>
          <w:highlight w:val="none"/>
          <w:lang w:val="en-US" w:eastAsia="zh-CN"/>
        </w:rPr>
      </w:pPr>
      <w:bookmarkStart w:id="21" w:name="_Toc17806"/>
      <w:r>
        <w:rPr>
          <w:rFonts w:hint="eastAsia" w:ascii="黑体" w:hAnsi="黑体" w:eastAsia="黑体" w:cs="黑体"/>
          <w:b w:val="0"/>
          <w:bCs w:val="0"/>
          <w:sz w:val="32"/>
          <w:szCs w:val="32"/>
          <w:highlight w:val="none"/>
          <w:lang w:eastAsia="zh-CN"/>
        </w:rPr>
        <w:t>二、</w:t>
      </w:r>
      <w:r>
        <w:rPr>
          <w:rFonts w:hint="eastAsia" w:ascii="黑体" w:hAnsi="黑体" w:eastAsia="黑体" w:cs="黑体"/>
          <w:b w:val="0"/>
          <w:color w:val="auto"/>
          <w:sz w:val="32"/>
          <w:szCs w:val="32"/>
          <w:highlight w:val="none"/>
          <w:lang w:val="en-US" w:eastAsia="zh-CN"/>
        </w:rPr>
        <w:t>机构设置</w:t>
      </w:r>
      <w:bookmarkEnd w:id="18"/>
      <w:bookmarkEnd w:id="19"/>
      <w:bookmarkEnd w:id="21"/>
    </w:p>
    <w:p>
      <w:pPr>
        <w:pStyle w:val="4"/>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bidi="ar-SA"/>
        </w:rPr>
      </w:pPr>
      <w:bookmarkStart w:id="22" w:name="_Toc471"/>
      <w:r>
        <w:rPr>
          <w:rFonts w:hint="eastAsia" w:ascii="仿宋_GB2312" w:hAnsi="仿宋_GB2312" w:eastAsia="仿宋_GB2312" w:cs="仿宋_GB2312"/>
          <w:b w:val="0"/>
          <w:bCs w:val="0"/>
          <w:color w:val="auto"/>
          <w:sz w:val="32"/>
          <w:szCs w:val="32"/>
          <w:highlight w:val="none"/>
          <w:lang w:val="en-US" w:eastAsia="zh-CN" w:bidi="ar-SA"/>
        </w:rPr>
        <w:t>广元市业余体校预算仅包括本级预算。</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广元市业余体校</w:t>
      </w:r>
      <w:r>
        <w:rPr>
          <w:rFonts w:hint="eastAsia" w:ascii="仿宋_GB2312" w:hAnsi="仿宋_GB2312" w:eastAsia="仿宋_GB2312" w:cs="仿宋_GB2312"/>
          <w:b w:val="0"/>
          <w:bCs w:val="0"/>
          <w:color w:val="auto"/>
          <w:sz w:val="32"/>
          <w:szCs w:val="32"/>
          <w:highlight w:val="none"/>
        </w:rPr>
        <w:t>设立办公室、竞训部、学生部、后勤保障部四个内设部门</w:t>
      </w:r>
      <w:r>
        <w:rPr>
          <w:rFonts w:hint="eastAsia" w:ascii="仿宋_GB2312" w:hAnsi="仿宋_GB2312" w:eastAsia="仿宋_GB2312" w:cs="仿宋_GB2312"/>
          <w:b w:val="0"/>
          <w:bCs w:val="0"/>
          <w:color w:val="auto"/>
          <w:kern w:val="0"/>
          <w:sz w:val="32"/>
          <w:szCs w:val="32"/>
          <w:highlight w:val="none"/>
          <w:shd w:val="clear" w:color="auto" w:fill="FFFFFF"/>
          <w:lang w:val="zh-CN" w:eastAsia="zh-CN" w:bidi="ar-SA"/>
        </w:rPr>
        <w:t>。</w:t>
      </w:r>
      <w:r>
        <w:rPr>
          <w:rFonts w:hint="eastAsia" w:ascii="仿宋_GB2312" w:hAnsi="仿宋_GB2312" w:eastAsia="仿宋_GB2312" w:cs="仿宋_GB2312"/>
          <w:b w:val="0"/>
          <w:bCs w:val="0"/>
          <w:color w:val="auto"/>
          <w:sz w:val="32"/>
          <w:szCs w:val="32"/>
          <w:highlight w:val="none"/>
          <w:lang w:val="en-US" w:eastAsia="zh-CN" w:bidi="ar-SA"/>
        </w:rPr>
        <w:t>单位基本情况：市业余体校总编制27名，其中事业编制26名，工勤编制1名。在职人员总数26人，其中事业人员25人，工勤人员1人；退休人员10人。</w:t>
      </w:r>
      <w:bookmarkEnd w:id="22"/>
    </w:p>
    <w:p>
      <w:pPr>
        <w:pStyle w:val="4"/>
        <w:numPr>
          <w:ilvl w:val="0"/>
          <w:numId w:val="0"/>
        </w:numPr>
        <w:ind w:leftChars="0"/>
        <w:outlineLvl w:val="9"/>
        <w:rPr>
          <w:rFonts w:hint="default" w:ascii="仿宋" w:hAnsi="仿宋" w:eastAsia="仿宋"/>
          <w:color w:val="auto"/>
          <w:kern w:val="0"/>
          <w:sz w:val="32"/>
          <w:szCs w:val="32"/>
          <w:highlight w:val="none"/>
          <w:lang w:val="en-US" w:eastAsia="zh-CN"/>
        </w:rPr>
      </w:pPr>
      <w:r>
        <w:rPr>
          <w:rFonts w:ascii="仿宋" w:hAnsi="仿宋" w:eastAsia="仿宋"/>
          <w:color w:val="auto"/>
          <w:sz w:val="32"/>
          <w:szCs w:val="32"/>
          <w:highlight w:val="none"/>
        </w:rPr>
        <w:br w:type="page"/>
      </w:r>
    </w:p>
    <w:p>
      <w:pPr>
        <w:pStyle w:val="3"/>
        <w:ind w:right="440"/>
        <w:jc w:val="center"/>
        <w:rPr>
          <w:rStyle w:val="18"/>
          <w:rFonts w:ascii="黑体" w:hAnsi="黑体" w:eastAsia="黑体"/>
          <w:b w:val="0"/>
          <w:bCs/>
          <w:color w:val="auto"/>
          <w:highlight w:val="none"/>
        </w:rPr>
      </w:pPr>
      <w:bookmarkStart w:id="23" w:name="_Toc15377204"/>
      <w:bookmarkStart w:id="24" w:name="_Toc13970"/>
      <w:bookmarkStart w:id="25"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8"/>
          <w:rFonts w:hint="eastAsia" w:ascii="黑体" w:hAnsi="黑体" w:eastAsia="黑体"/>
          <w:b w:val="0"/>
          <w:bCs/>
          <w:color w:val="auto"/>
          <w:highlight w:val="none"/>
          <w:lang w:eastAsia="zh-CN"/>
        </w:rPr>
        <w:t>单位</w:t>
      </w:r>
      <w:r>
        <w:rPr>
          <w:rStyle w:val="18"/>
          <w:rFonts w:hint="eastAsia" w:ascii="黑体" w:hAnsi="黑体" w:eastAsia="黑体"/>
          <w:b w:val="0"/>
          <w:bCs/>
          <w:color w:val="auto"/>
          <w:highlight w:val="none"/>
        </w:rPr>
        <w:t>决算情况说明</w:t>
      </w:r>
      <w:bookmarkEnd w:id="23"/>
      <w:bookmarkEnd w:id="24"/>
      <w:bookmarkEnd w:id="25"/>
    </w:p>
    <w:p>
      <w:pPr>
        <w:rPr>
          <w:color w:val="auto"/>
          <w:highlight w:val="none"/>
        </w:rPr>
      </w:pPr>
    </w:p>
    <w:p>
      <w:pPr>
        <w:pStyle w:val="28"/>
        <w:numPr>
          <w:ilvl w:val="0"/>
          <w:numId w:val="1"/>
        </w:numPr>
        <w:spacing w:line="600" w:lineRule="exact"/>
        <w:ind w:firstLineChars="0"/>
        <w:outlineLvl w:val="1"/>
        <w:rPr>
          <w:rStyle w:val="19"/>
          <w:rFonts w:ascii="黑体" w:hAnsi="黑体" w:eastAsia="黑体"/>
          <w:b w:val="0"/>
          <w:color w:val="auto"/>
          <w:highlight w:val="none"/>
        </w:rPr>
      </w:pPr>
      <w:bookmarkStart w:id="26" w:name="_Toc15377205"/>
      <w:bookmarkStart w:id="27" w:name="_Toc15396603"/>
      <w:bookmarkStart w:id="28" w:name="_Toc13200"/>
      <w:r>
        <w:rPr>
          <w:rFonts w:hint="eastAsia" w:ascii="黑体" w:hAnsi="黑体" w:eastAsia="黑体"/>
          <w:color w:val="auto"/>
          <w:sz w:val="32"/>
          <w:szCs w:val="32"/>
          <w:highlight w:val="none"/>
        </w:rPr>
        <w:t>收</w:t>
      </w:r>
      <w:r>
        <w:rPr>
          <w:rStyle w:val="19"/>
          <w:rFonts w:hint="eastAsia" w:ascii="黑体" w:hAnsi="黑体" w:eastAsia="黑体"/>
          <w:b w:val="0"/>
          <w:color w:val="auto"/>
          <w:highlight w:val="none"/>
        </w:rPr>
        <w:t>入支出决算总体情况说明</w:t>
      </w:r>
      <w:bookmarkEnd w:id="26"/>
      <w:bookmarkEnd w:id="27"/>
      <w:bookmarkEnd w:id="28"/>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891.30</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年相比，收、支总计各减少</w:t>
      </w:r>
      <w:r>
        <w:rPr>
          <w:rFonts w:hint="eastAsia" w:ascii="仿宋_GB2312" w:hAnsi="仿宋_GB2312" w:eastAsia="仿宋_GB2312" w:cs="仿宋_GB2312"/>
          <w:color w:val="auto"/>
          <w:sz w:val="32"/>
          <w:szCs w:val="32"/>
          <w:highlight w:val="none"/>
          <w:lang w:val="en-US" w:eastAsia="zh-CN"/>
        </w:rPr>
        <w:t>215.01</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19.43</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上年结转项目减少。</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（图1：收、支决算总计变动情况图）（柱状图）</w:t>
      </w:r>
    </w:p>
    <w:p>
      <w:pPr>
        <w:pStyle w:val="28"/>
        <w:numPr>
          <w:ilvl w:val="0"/>
          <w:numId w:val="0"/>
        </w:numPr>
        <w:spacing w:line="600" w:lineRule="exact"/>
        <w:outlineLvl w:val="9"/>
        <w:rPr>
          <w:rFonts w:hint="eastAsia" w:ascii="黑体" w:hAnsi="黑体" w:eastAsia="黑体"/>
          <w:color w:val="auto"/>
          <w:sz w:val="32"/>
          <w:szCs w:val="32"/>
          <w:highlight w:val="none"/>
          <w:lang w:eastAsia="zh-CN"/>
        </w:rPr>
      </w:pPr>
      <w:bookmarkStart w:id="29" w:name="_Toc15377206"/>
      <w:bookmarkStart w:id="30" w:name="_Toc15396604"/>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471805</wp:posOffset>
            </wp:positionH>
            <wp:positionV relativeFrom="paragraph">
              <wp:posOffset>66040</wp:posOffset>
            </wp:positionV>
            <wp:extent cx="4326890" cy="2994660"/>
            <wp:effectExtent l="4445" t="4445" r="12065" b="107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outlineLvl w:val="9"/>
        <w:rPr>
          <w:rFonts w:hint="eastAsia" w:ascii="黑体" w:hAnsi="黑体" w:eastAsia="黑体"/>
          <w:color w:val="auto"/>
          <w:sz w:val="32"/>
          <w:szCs w:val="32"/>
          <w:highlight w:val="none"/>
          <w:lang w:eastAsia="zh-CN"/>
        </w:rPr>
      </w:pPr>
    </w:p>
    <w:p>
      <w:pPr>
        <w:pStyle w:val="28"/>
        <w:numPr>
          <w:ilvl w:val="0"/>
          <w:numId w:val="0"/>
        </w:numPr>
        <w:spacing w:line="600" w:lineRule="exact"/>
        <w:ind w:firstLine="640" w:firstLineChars="200"/>
        <w:outlineLvl w:val="1"/>
        <w:rPr>
          <w:rStyle w:val="19"/>
          <w:rFonts w:ascii="黑体" w:hAnsi="黑体" w:eastAsia="黑体"/>
          <w:b w:val="0"/>
          <w:color w:val="auto"/>
          <w:highlight w:val="none"/>
        </w:rPr>
      </w:pPr>
      <w:bookmarkStart w:id="31" w:name="_Toc9014"/>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19"/>
          <w:rFonts w:hint="eastAsia" w:ascii="黑体" w:hAnsi="黑体" w:eastAsia="黑体"/>
          <w:b w:val="0"/>
          <w:color w:val="auto"/>
          <w:highlight w:val="none"/>
        </w:rPr>
        <w:t>入决算情况说明</w:t>
      </w:r>
      <w:bookmarkEnd w:id="29"/>
      <w:bookmarkEnd w:id="30"/>
      <w:bookmarkEnd w:id="31"/>
    </w:p>
    <w:p>
      <w:pPr>
        <w:spacing w:line="600" w:lineRule="exact"/>
        <w:ind w:firstLine="640" w:firstLineChars="200"/>
        <w:outlineLvl w:val="1"/>
        <w:rPr>
          <w:rFonts w:hint="eastAsia" w:ascii="仿宋_GB2312" w:hAnsi="仿宋_GB2312" w:eastAsia="仿宋_GB2312" w:cs="仿宋_GB2312"/>
          <w:color w:val="auto"/>
          <w:sz w:val="32"/>
          <w:szCs w:val="32"/>
          <w:highlight w:val="none"/>
          <w:lang w:eastAsia="zh-CN"/>
        </w:rPr>
      </w:pPr>
      <w:bookmarkStart w:id="32" w:name="_Toc14293"/>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年本年收入合计823.86万元，其中：一般公共预算财政拨款收入661.42万元，占</w:t>
      </w:r>
      <w:r>
        <w:rPr>
          <w:rFonts w:hint="eastAsia" w:ascii="仿宋_GB2312" w:hAnsi="仿宋_GB2312" w:eastAsia="仿宋_GB2312" w:cs="仿宋_GB2312"/>
          <w:color w:val="auto"/>
          <w:sz w:val="32"/>
          <w:szCs w:val="32"/>
          <w:highlight w:val="none"/>
          <w:lang w:val="en-US" w:eastAsia="zh-CN"/>
        </w:rPr>
        <w:t>80.28</w:t>
      </w:r>
      <w:r>
        <w:rPr>
          <w:rFonts w:hint="eastAsia" w:ascii="仿宋_GB2312" w:hAnsi="仿宋_GB2312" w:eastAsia="仿宋_GB2312" w:cs="仿宋_GB2312"/>
          <w:color w:val="auto"/>
          <w:sz w:val="32"/>
          <w:szCs w:val="32"/>
          <w:highlight w:val="none"/>
        </w:rPr>
        <w:t>%；政府性基金预算财政拨款收入149.91万元，占</w:t>
      </w:r>
      <w:r>
        <w:rPr>
          <w:rFonts w:hint="eastAsia" w:ascii="仿宋_GB2312" w:hAnsi="仿宋_GB2312" w:eastAsia="仿宋_GB2312" w:cs="仿宋_GB2312"/>
          <w:color w:val="auto"/>
          <w:sz w:val="32"/>
          <w:szCs w:val="32"/>
          <w:highlight w:val="none"/>
          <w:lang w:val="en-US" w:eastAsia="zh-CN"/>
        </w:rPr>
        <w:t>18.20</w:t>
      </w:r>
      <w:r>
        <w:rPr>
          <w:rFonts w:hint="eastAsia" w:ascii="仿宋_GB2312" w:hAnsi="仿宋_GB2312" w:eastAsia="仿宋_GB2312" w:cs="仿宋_GB2312"/>
          <w:color w:val="auto"/>
          <w:sz w:val="32"/>
          <w:szCs w:val="32"/>
          <w:highlight w:val="none"/>
        </w:rPr>
        <w:t>%；其他收入12.53万元，占</w:t>
      </w:r>
      <w:r>
        <w:rPr>
          <w:rFonts w:hint="eastAsia" w:ascii="仿宋_GB2312" w:hAnsi="仿宋_GB2312" w:eastAsia="仿宋_GB2312" w:cs="仿宋_GB2312"/>
          <w:color w:val="auto"/>
          <w:sz w:val="32"/>
          <w:szCs w:val="32"/>
          <w:highlight w:val="none"/>
          <w:lang w:val="en-US" w:eastAsia="zh-CN"/>
        </w:rPr>
        <w:t>1.52</w:t>
      </w:r>
      <w:r>
        <w:rPr>
          <w:rFonts w:hint="eastAsia" w:ascii="仿宋_GB2312" w:hAnsi="仿宋_GB2312" w:eastAsia="仿宋_GB2312" w:cs="仿宋_GB2312"/>
          <w:color w:val="auto"/>
          <w:sz w:val="32"/>
          <w:szCs w:val="32"/>
          <w:highlight w:val="none"/>
        </w:rPr>
        <w:t>%。</w:t>
      </w:r>
      <w:bookmarkEnd w:id="32"/>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543935" cy="2905125"/>
            <wp:effectExtent l="4445" t="4445" r="1397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8"/>
        <w:numPr>
          <w:ilvl w:val="0"/>
          <w:numId w:val="0"/>
        </w:numPr>
        <w:spacing w:line="600" w:lineRule="exact"/>
        <w:ind w:left="640" w:leftChars="0"/>
        <w:outlineLvl w:val="1"/>
        <w:rPr>
          <w:rStyle w:val="19"/>
          <w:rFonts w:ascii="黑体" w:hAnsi="黑体" w:eastAsia="黑体"/>
          <w:b w:val="0"/>
          <w:color w:val="auto"/>
          <w:highlight w:val="none"/>
        </w:rPr>
      </w:pPr>
      <w:bookmarkStart w:id="33" w:name="_Toc15377207"/>
      <w:bookmarkStart w:id="34" w:name="_Toc18672"/>
      <w:bookmarkStart w:id="35"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19"/>
          <w:rFonts w:hint="eastAsia" w:ascii="黑体" w:hAnsi="黑体" w:eastAsia="黑体"/>
          <w:b w:val="0"/>
          <w:color w:val="auto"/>
          <w:highlight w:val="none"/>
        </w:rPr>
        <w:t>出决算情况说明</w:t>
      </w:r>
      <w:bookmarkEnd w:id="33"/>
      <w:bookmarkEnd w:id="34"/>
      <w:bookmarkEnd w:id="35"/>
    </w:p>
    <w:p>
      <w:pPr>
        <w:spacing w:line="600" w:lineRule="exact"/>
        <w:ind w:firstLine="640" w:firstLineChars="200"/>
        <w:outlineLvl w:val="1"/>
        <w:rPr>
          <w:rFonts w:hint="eastAsia" w:ascii="仿宋_GB2312" w:hAnsi="仿宋_GB2312" w:eastAsia="仿宋_GB2312" w:cs="仿宋_GB2312"/>
          <w:color w:val="auto"/>
          <w:sz w:val="32"/>
          <w:szCs w:val="32"/>
          <w:highlight w:val="none"/>
          <w:shd w:val="pct10" w:color="auto" w:fill="FFFFFF"/>
        </w:rPr>
      </w:pPr>
      <w:bookmarkStart w:id="36" w:name="_Toc31655"/>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857.33</w:t>
      </w:r>
      <w:r>
        <w:rPr>
          <w:rFonts w:hint="eastAsia" w:ascii="仿宋_GB2312" w:hAnsi="仿宋_GB2312" w:eastAsia="仿宋_GB2312" w:cs="仿宋_GB2312"/>
          <w:color w:val="auto"/>
          <w:sz w:val="32"/>
          <w:szCs w:val="32"/>
          <w:highlight w:val="none"/>
        </w:rPr>
        <w:t>万元，其中：基本支出528.96万元，占</w:t>
      </w:r>
      <w:r>
        <w:rPr>
          <w:rFonts w:hint="eastAsia" w:ascii="仿宋_GB2312" w:hAnsi="仿宋_GB2312" w:eastAsia="仿宋_GB2312" w:cs="仿宋_GB2312"/>
          <w:color w:val="auto"/>
          <w:sz w:val="32"/>
          <w:szCs w:val="32"/>
          <w:highlight w:val="none"/>
          <w:lang w:val="en-US" w:eastAsia="zh-CN"/>
        </w:rPr>
        <w:t>61.7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328.37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38.30</w:t>
      </w:r>
      <w:r>
        <w:rPr>
          <w:rFonts w:hint="eastAsia" w:ascii="仿宋_GB2312" w:hAnsi="仿宋_GB2312" w:eastAsia="仿宋_GB2312" w:cs="仿宋_GB2312"/>
          <w:color w:val="auto"/>
          <w:sz w:val="32"/>
          <w:szCs w:val="32"/>
          <w:highlight w:val="none"/>
        </w:rPr>
        <w:t>%。</w:t>
      </w:r>
      <w:bookmarkEnd w:id="36"/>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p>
    <w:p>
      <w:pPr>
        <w:pStyle w:val="2"/>
        <w:rPr>
          <w:highlight w:val="none"/>
        </w:rPr>
      </w:pPr>
      <w:r>
        <w:rPr>
          <w:rFonts w:hint="eastAsia" w:eastAsia="仿宋_GB2312"/>
          <w:highlight w:val="none"/>
          <w:lang w:eastAsia="zh-CN"/>
        </w:rPr>
        <w:drawing>
          <wp:inline distT="0" distB="0" distL="114300" distR="114300">
            <wp:extent cx="4310380" cy="2660650"/>
            <wp:effectExtent l="4445" t="5080" r="9525"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19"/>
          <w:rFonts w:ascii="黑体" w:hAnsi="黑体" w:eastAsia="黑体"/>
          <w:b w:val="0"/>
          <w:color w:val="auto"/>
          <w:highlight w:val="none"/>
        </w:rPr>
      </w:pPr>
      <w:bookmarkStart w:id="37" w:name="_Toc15377208"/>
      <w:bookmarkStart w:id="38" w:name="_Toc30873"/>
      <w:bookmarkStart w:id="39" w:name="_Toc15396606"/>
      <w:r>
        <w:rPr>
          <w:rFonts w:hint="eastAsia" w:ascii="黑体" w:hAnsi="黑体" w:eastAsia="黑体"/>
          <w:color w:val="auto"/>
          <w:sz w:val="32"/>
          <w:szCs w:val="32"/>
          <w:highlight w:val="none"/>
        </w:rPr>
        <w:t>四、财</w:t>
      </w:r>
      <w:r>
        <w:rPr>
          <w:rStyle w:val="19"/>
          <w:rFonts w:hint="eastAsia" w:ascii="黑体" w:hAnsi="黑体" w:eastAsia="黑体"/>
          <w:b w:val="0"/>
          <w:color w:val="auto"/>
          <w:highlight w:val="none"/>
        </w:rPr>
        <w:t>政拨款收入支出决算总体情况说明</w:t>
      </w:r>
      <w:bookmarkEnd w:id="37"/>
      <w:bookmarkEnd w:id="38"/>
      <w:bookmarkEnd w:id="39"/>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836.47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年相比，财政拨款收、支总计各减少</w:t>
      </w:r>
      <w:r>
        <w:rPr>
          <w:rFonts w:hint="eastAsia" w:ascii="仿宋_GB2312" w:hAnsi="仿宋_GB2312" w:eastAsia="仿宋_GB2312" w:cs="仿宋_GB2312"/>
          <w:color w:val="auto"/>
          <w:sz w:val="32"/>
          <w:szCs w:val="32"/>
          <w:highlight w:val="none"/>
          <w:lang w:val="en-US" w:eastAsia="zh-CN"/>
        </w:rPr>
        <w:t>73.63</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8.09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上年结转项目减少，支出减少。</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（图4：财政拨款收、支决算总计变动情况）（柱状图）</w:t>
      </w:r>
    </w:p>
    <w:p>
      <w:pPr>
        <w:pStyle w:val="2"/>
        <w:rPr>
          <w:highlight w:val="none"/>
        </w:rPr>
      </w:pPr>
      <w:r>
        <w:rPr>
          <w:rFonts w:hint="eastAsia" w:ascii="仿宋" w:hAnsi="仿宋" w:eastAsia="仿宋"/>
          <w:b/>
          <w:color w:val="auto"/>
          <w:sz w:val="32"/>
          <w:szCs w:val="32"/>
          <w:highlight w:val="none"/>
          <w:lang w:eastAsia="zh-CN"/>
        </w:rPr>
        <w:drawing>
          <wp:inline distT="0" distB="0" distL="114300" distR="114300">
            <wp:extent cx="4172585" cy="3185160"/>
            <wp:effectExtent l="4445" t="4445" r="1397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1"/>
        <w:rPr>
          <w:rStyle w:val="19"/>
          <w:rFonts w:ascii="黑体" w:hAnsi="黑体" w:eastAsia="黑体"/>
          <w:b w:val="0"/>
          <w:color w:val="auto"/>
          <w:highlight w:val="none"/>
        </w:rPr>
      </w:pPr>
      <w:bookmarkStart w:id="40" w:name="_Toc11500"/>
      <w:bookmarkStart w:id="41" w:name="_Toc15377209"/>
      <w:bookmarkStart w:id="4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9"/>
          <w:rFonts w:hint="eastAsia" w:ascii="黑体" w:hAnsi="黑体" w:eastAsia="黑体"/>
          <w:b w:val="0"/>
          <w:color w:val="auto"/>
          <w:highlight w:val="none"/>
        </w:rPr>
        <w:t>般公共预算财政拨款支出决算情况说明</w:t>
      </w:r>
      <w:bookmarkEnd w:id="40"/>
      <w:bookmarkEnd w:id="41"/>
      <w:bookmarkEnd w:id="42"/>
    </w:p>
    <w:p>
      <w:pPr>
        <w:spacing w:line="600" w:lineRule="exact"/>
        <w:ind w:firstLine="642" w:firstLineChars="200"/>
        <w:outlineLvl w:val="2"/>
        <w:rPr>
          <w:rFonts w:ascii="仿宋" w:hAnsi="仿宋" w:eastAsia="仿宋"/>
          <w:b/>
          <w:color w:val="auto"/>
          <w:sz w:val="32"/>
          <w:szCs w:val="32"/>
          <w:highlight w:val="none"/>
        </w:rPr>
      </w:pPr>
      <w:bookmarkStart w:id="43" w:name="_Toc15377210"/>
      <w:r>
        <w:rPr>
          <w:rFonts w:hint="eastAsia" w:ascii="仿宋" w:hAnsi="仿宋" w:eastAsia="仿宋"/>
          <w:b/>
          <w:color w:val="auto"/>
          <w:sz w:val="32"/>
          <w:szCs w:val="32"/>
          <w:highlight w:val="none"/>
        </w:rPr>
        <w:t>（一）一般公共预算财政拨款支出决算总体情况</w:t>
      </w:r>
      <w:bookmarkEnd w:id="43"/>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664.20</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79.41</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80.71</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13.83</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增加绩效目标奖支出且计提养老保险和住房公积金部分增加。</w:t>
      </w:r>
    </w:p>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（图5：一般公共预算财政拨款支出决算变动情况）（柱状图）</w:t>
      </w: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842385" cy="3111500"/>
            <wp:effectExtent l="4445" t="4445" r="20320"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highlight w:val="none"/>
        </w:rPr>
      </w:pPr>
    </w:p>
    <w:p>
      <w:pPr>
        <w:spacing w:line="600" w:lineRule="exact"/>
        <w:ind w:firstLine="642" w:firstLineChars="200"/>
        <w:outlineLvl w:val="2"/>
        <w:rPr>
          <w:rFonts w:ascii="仿宋" w:hAnsi="仿宋" w:eastAsia="仿宋"/>
          <w:b/>
          <w:color w:val="auto"/>
          <w:sz w:val="32"/>
          <w:szCs w:val="32"/>
          <w:highlight w:val="none"/>
        </w:rPr>
      </w:pPr>
      <w:bookmarkStart w:id="44" w:name="_Toc15377211"/>
      <w:r>
        <w:rPr>
          <w:rFonts w:hint="eastAsia" w:ascii="仿宋" w:hAnsi="仿宋" w:eastAsia="仿宋"/>
          <w:b/>
          <w:color w:val="auto"/>
          <w:sz w:val="32"/>
          <w:szCs w:val="32"/>
          <w:highlight w:val="none"/>
        </w:rPr>
        <w:t>（二）一般公共预算财政拨款支出决算结构情况</w:t>
      </w:r>
      <w:bookmarkEnd w:id="44"/>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664.20</w:t>
      </w:r>
      <w:r>
        <w:rPr>
          <w:rFonts w:hint="eastAsia" w:ascii="仿宋_GB2312" w:hAnsi="仿宋_GB2312" w:eastAsia="仿宋_GB2312" w:cs="仿宋_GB2312"/>
          <w:color w:val="auto"/>
          <w:sz w:val="32"/>
          <w:szCs w:val="32"/>
          <w:highlight w:val="none"/>
        </w:rPr>
        <w:t>万元，主要用</w:t>
      </w:r>
      <w:r>
        <w:rPr>
          <w:rFonts w:hint="eastAsia" w:ascii="仿宋_GB2312" w:hAnsi="仿宋_GB2312" w:eastAsia="仿宋_GB2312" w:cs="仿宋_GB2312"/>
          <w:b w:val="0"/>
          <w:bCs w:val="0"/>
          <w:color w:val="auto"/>
          <w:sz w:val="32"/>
          <w:szCs w:val="32"/>
          <w:highlight w:val="none"/>
        </w:rPr>
        <w:t>于以下方面:文化旅游体育与传媒支出549.92万元，占</w:t>
      </w:r>
      <w:r>
        <w:rPr>
          <w:rFonts w:hint="eastAsia" w:ascii="仿宋_GB2312" w:hAnsi="仿宋_GB2312" w:eastAsia="仿宋_GB2312" w:cs="仿宋_GB2312"/>
          <w:b w:val="0"/>
          <w:bCs w:val="0"/>
          <w:color w:val="auto"/>
          <w:sz w:val="32"/>
          <w:szCs w:val="32"/>
          <w:highlight w:val="none"/>
          <w:lang w:val="en-US" w:eastAsia="zh-CN"/>
        </w:rPr>
        <w:t>82.79</w:t>
      </w:r>
      <w:r>
        <w:rPr>
          <w:rFonts w:hint="eastAsia" w:ascii="仿宋_GB2312" w:hAnsi="仿宋_GB2312" w:eastAsia="仿宋_GB2312" w:cs="仿宋_GB2312"/>
          <w:b w:val="0"/>
          <w:bCs w:val="0"/>
          <w:color w:val="auto"/>
          <w:sz w:val="32"/>
          <w:szCs w:val="32"/>
          <w:highlight w:val="none"/>
        </w:rPr>
        <w:t>%；社会保障和就业支出57.49万元，占</w:t>
      </w:r>
      <w:r>
        <w:rPr>
          <w:rFonts w:hint="eastAsia" w:ascii="仿宋_GB2312" w:hAnsi="仿宋_GB2312" w:eastAsia="仿宋_GB2312" w:cs="仿宋_GB2312"/>
          <w:b w:val="0"/>
          <w:bCs w:val="0"/>
          <w:color w:val="auto"/>
          <w:sz w:val="32"/>
          <w:szCs w:val="32"/>
          <w:highlight w:val="none"/>
          <w:lang w:val="en-US" w:eastAsia="zh-CN"/>
        </w:rPr>
        <w:t>8.66</w:t>
      </w:r>
      <w:r>
        <w:rPr>
          <w:rFonts w:hint="eastAsia" w:ascii="仿宋_GB2312" w:hAnsi="仿宋_GB2312" w:eastAsia="仿宋_GB2312" w:cs="仿宋_GB2312"/>
          <w:b w:val="0"/>
          <w:bCs w:val="0"/>
          <w:color w:val="auto"/>
          <w:sz w:val="32"/>
          <w:szCs w:val="32"/>
          <w:highlight w:val="none"/>
        </w:rPr>
        <w:t>%；卫生健康支出17.69万元，占</w:t>
      </w:r>
      <w:r>
        <w:rPr>
          <w:rFonts w:hint="eastAsia" w:ascii="仿宋_GB2312" w:hAnsi="仿宋_GB2312" w:eastAsia="仿宋_GB2312" w:cs="仿宋_GB2312"/>
          <w:b w:val="0"/>
          <w:bCs w:val="0"/>
          <w:color w:val="auto"/>
          <w:sz w:val="32"/>
          <w:szCs w:val="32"/>
          <w:highlight w:val="none"/>
          <w:lang w:val="en-US" w:eastAsia="zh-CN"/>
        </w:rPr>
        <w:t>2.66</w:t>
      </w:r>
      <w:r>
        <w:rPr>
          <w:rFonts w:hint="eastAsia" w:ascii="仿宋_GB2312" w:hAnsi="仿宋_GB2312" w:eastAsia="仿宋_GB2312" w:cs="仿宋_GB2312"/>
          <w:b w:val="0"/>
          <w:bCs w:val="0"/>
          <w:color w:val="auto"/>
          <w:sz w:val="32"/>
          <w:szCs w:val="32"/>
          <w:highlight w:val="none"/>
        </w:rPr>
        <w:t>%；住房保障支出39.1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5.89</w:t>
      </w:r>
      <w:r>
        <w:rPr>
          <w:rFonts w:hint="eastAsia" w:ascii="仿宋_GB2312" w:hAnsi="仿宋_GB2312" w:eastAsia="仿宋_GB2312" w:cs="仿宋_GB2312"/>
          <w:b w:val="0"/>
          <w:bCs w:val="0"/>
          <w:color w:val="auto"/>
          <w:sz w:val="32"/>
          <w:szCs w:val="32"/>
          <w:highlight w:val="none"/>
        </w:rPr>
        <w:t>%。</w:t>
      </w:r>
    </w:p>
    <w:p>
      <w:pPr>
        <w:spacing w:line="60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（图6：一般公共预算财政拨款支出决算结构）（饼状图）</w:t>
      </w:r>
    </w:p>
    <w:p>
      <w:pPr>
        <w:rPr>
          <w:highlight w:val="none"/>
        </w:rPr>
      </w:pPr>
      <w:r>
        <w:rPr>
          <w:rFonts w:hint="eastAsia" w:ascii="仿宋" w:hAnsi="仿宋" w:eastAsia="仿宋"/>
          <w:color w:val="auto"/>
          <w:sz w:val="32"/>
          <w:szCs w:val="32"/>
          <w:highlight w:val="none"/>
          <w:lang w:eastAsia="zh-CN"/>
        </w:rPr>
        <w:drawing>
          <wp:inline distT="0" distB="0" distL="114300" distR="114300">
            <wp:extent cx="4203700" cy="2607310"/>
            <wp:effectExtent l="4445" t="5080" r="20955" b="1651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2" w:firstLineChars="200"/>
        <w:outlineLvl w:val="2"/>
        <w:rPr>
          <w:rFonts w:ascii="仿宋" w:hAnsi="仿宋" w:eastAsia="仿宋"/>
          <w:b/>
          <w:color w:val="auto"/>
          <w:sz w:val="32"/>
          <w:szCs w:val="32"/>
          <w:highlight w:val="none"/>
        </w:rPr>
      </w:pPr>
      <w:bookmarkStart w:id="45" w:name="_Toc15377212"/>
      <w:r>
        <w:rPr>
          <w:rFonts w:hint="eastAsia" w:ascii="仿宋" w:hAnsi="仿宋" w:eastAsia="仿宋"/>
          <w:b/>
          <w:color w:val="auto"/>
          <w:sz w:val="32"/>
          <w:szCs w:val="32"/>
          <w:highlight w:val="none"/>
        </w:rPr>
        <w:t>（三）一般公共预算财政拨款支出决算具体情况</w:t>
      </w:r>
      <w:bookmarkEnd w:id="45"/>
    </w:p>
    <w:p>
      <w:pPr>
        <w:spacing w:line="600" w:lineRule="exact"/>
        <w:ind w:firstLine="642" w:firstLineChars="200"/>
        <w:outlineLvl w:val="1"/>
        <w:rPr>
          <w:rStyle w:val="16"/>
          <w:rFonts w:hint="eastAsia" w:ascii="仿宋_GB2312" w:hAnsi="仿宋_GB2312" w:eastAsia="仿宋_GB2312" w:cs="仿宋_GB2312"/>
          <w:b/>
          <w:bCs w:val="0"/>
          <w:color w:val="auto"/>
          <w:sz w:val="32"/>
          <w:szCs w:val="32"/>
          <w:highlight w:val="none"/>
        </w:rPr>
      </w:pPr>
      <w:bookmarkStart w:id="46" w:name="_Toc15377444"/>
      <w:bookmarkStart w:id="47" w:name="_Toc15377213"/>
      <w:bookmarkStart w:id="48" w:name="_Toc15378460"/>
      <w:bookmarkStart w:id="49" w:name="_Toc3883"/>
      <w:r>
        <w:rPr>
          <w:rFonts w:hint="eastAsia" w:ascii="仿宋_GB2312" w:hAnsi="仿宋_GB2312" w:eastAsia="仿宋_GB2312" w:cs="仿宋_GB2312"/>
          <w:b/>
          <w:bCs w:val="0"/>
          <w:color w:val="auto"/>
          <w:sz w:val="32"/>
          <w:szCs w:val="32"/>
          <w:highlight w:val="none"/>
        </w:rPr>
        <w:t>20</w:t>
      </w:r>
      <w:r>
        <w:rPr>
          <w:rFonts w:hint="eastAsia" w:ascii="仿宋_GB2312" w:hAnsi="仿宋_GB2312" w:eastAsia="仿宋_GB2312" w:cs="仿宋_GB2312"/>
          <w:b/>
          <w:bCs w:val="0"/>
          <w:color w:val="auto"/>
          <w:sz w:val="32"/>
          <w:szCs w:val="32"/>
          <w:highlight w:val="none"/>
          <w:lang w:val="en-US" w:eastAsia="zh-CN"/>
        </w:rPr>
        <w:t>22</w:t>
      </w:r>
      <w:r>
        <w:rPr>
          <w:rFonts w:hint="eastAsia" w:ascii="仿宋_GB2312" w:hAnsi="仿宋_GB2312" w:eastAsia="仿宋_GB2312" w:cs="仿宋_GB2312"/>
          <w:b/>
          <w:bCs w:val="0"/>
          <w:color w:val="auto"/>
          <w:sz w:val="32"/>
          <w:szCs w:val="32"/>
          <w:highlight w:val="none"/>
        </w:rPr>
        <w:t>年</w:t>
      </w:r>
      <w:r>
        <w:rPr>
          <w:rFonts w:hint="eastAsia" w:ascii="仿宋_GB2312" w:hAnsi="仿宋_GB2312" w:eastAsia="仿宋_GB2312" w:cs="仿宋_GB2312"/>
          <w:b/>
          <w:bCs w:val="0"/>
          <w:color w:val="auto"/>
          <w:sz w:val="32"/>
          <w:szCs w:val="32"/>
          <w:highlight w:val="none"/>
          <w:lang w:eastAsia="zh-CN"/>
        </w:rPr>
        <w:t>一</w:t>
      </w:r>
      <w:r>
        <w:rPr>
          <w:rFonts w:hint="eastAsia" w:ascii="仿宋_GB2312" w:hAnsi="仿宋_GB2312" w:eastAsia="仿宋_GB2312" w:cs="仿宋_GB2312"/>
          <w:b/>
          <w:bCs w:val="0"/>
          <w:color w:val="auto"/>
          <w:sz w:val="32"/>
          <w:szCs w:val="32"/>
          <w:highlight w:val="none"/>
        </w:rPr>
        <w:t>般公共预算支出决算数为</w:t>
      </w:r>
      <w:r>
        <w:rPr>
          <w:rFonts w:hint="eastAsia" w:ascii="仿宋_GB2312" w:hAnsi="仿宋_GB2312" w:eastAsia="仿宋_GB2312" w:cs="仿宋_GB2312"/>
          <w:b/>
          <w:bCs w:val="0"/>
          <w:color w:val="auto"/>
          <w:sz w:val="32"/>
          <w:szCs w:val="32"/>
          <w:highlight w:val="none"/>
          <w:lang w:val="en-US" w:eastAsia="zh-CN"/>
        </w:rPr>
        <w:t>664.20万元</w:t>
      </w:r>
      <w:r>
        <w:rPr>
          <w:rFonts w:hint="eastAsia" w:ascii="仿宋_GB2312" w:hAnsi="仿宋_GB2312" w:eastAsia="仿宋_GB2312" w:cs="仿宋_GB2312"/>
          <w:b/>
          <w:bCs w:val="0"/>
          <w:color w:val="auto"/>
          <w:sz w:val="32"/>
          <w:szCs w:val="32"/>
          <w:highlight w:val="none"/>
        </w:rPr>
        <w:t>，</w:t>
      </w:r>
      <w:r>
        <w:rPr>
          <w:rStyle w:val="16"/>
          <w:rFonts w:hint="eastAsia" w:ascii="仿宋_GB2312" w:hAnsi="仿宋_GB2312" w:eastAsia="仿宋_GB2312" w:cs="仿宋_GB2312"/>
          <w:b/>
          <w:bCs w:val="0"/>
          <w:color w:val="auto"/>
          <w:sz w:val="32"/>
          <w:szCs w:val="32"/>
          <w:highlight w:val="none"/>
        </w:rPr>
        <w:t>完成预算</w:t>
      </w:r>
      <w:r>
        <w:rPr>
          <w:rStyle w:val="16"/>
          <w:rFonts w:hint="default" w:ascii="仿宋_GB2312" w:hAnsi="仿宋_GB2312" w:eastAsia="仿宋_GB2312" w:cs="仿宋_GB2312"/>
          <w:b/>
          <w:bCs w:val="0"/>
          <w:color w:val="auto"/>
          <w:sz w:val="32"/>
          <w:szCs w:val="32"/>
          <w:highlight w:val="none"/>
        </w:rPr>
        <w:t>100</w:t>
      </w:r>
      <w:r>
        <w:rPr>
          <w:rStyle w:val="16"/>
          <w:rFonts w:hint="eastAsia" w:ascii="仿宋_GB2312" w:hAnsi="仿宋_GB2312" w:eastAsia="仿宋_GB2312" w:cs="仿宋_GB2312"/>
          <w:b/>
          <w:bCs w:val="0"/>
          <w:color w:val="auto"/>
          <w:sz w:val="32"/>
          <w:szCs w:val="32"/>
          <w:highlight w:val="none"/>
        </w:rPr>
        <w:t>%。其中：</w:t>
      </w:r>
      <w:bookmarkEnd w:id="46"/>
      <w:bookmarkEnd w:id="47"/>
      <w:bookmarkEnd w:id="48"/>
      <w:bookmarkEnd w:id="4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2"/>
        <w:rPr>
          <w:rStyle w:val="16"/>
          <w:rFonts w:hint="eastAsia" w:ascii="仿宋_GB2312" w:hAnsi="仿宋_GB2312" w:eastAsia="仿宋_GB2312" w:cs="仿宋_GB2312"/>
          <w:b w:val="0"/>
          <w:bCs w:val="0"/>
          <w:color w:val="auto"/>
          <w:sz w:val="32"/>
          <w:szCs w:val="32"/>
          <w:highlight w:val="none"/>
        </w:rPr>
      </w:pPr>
      <w:r>
        <w:rPr>
          <w:rStyle w:val="16"/>
          <w:rFonts w:hint="eastAsia" w:ascii="仿宋_GB2312" w:hAnsi="仿宋_GB2312" w:eastAsia="仿宋_GB2312" w:cs="仿宋_GB2312"/>
          <w:b w:val="0"/>
          <w:bCs w:val="0"/>
          <w:color w:val="auto"/>
          <w:sz w:val="32"/>
          <w:szCs w:val="32"/>
          <w:highlight w:val="none"/>
        </w:rPr>
        <w:t>文化旅游体育与传媒（类）体育（款）体育训练（项）: 支出决算为</w:t>
      </w:r>
      <w:r>
        <w:rPr>
          <w:rStyle w:val="16"/>
          <w:rFonts w:hint="default" w:ascii="仿宋_GB2312" w:hAnsi="仿宋_GB2312" w:eastAsia="仿宋_GB2312" w:cs="仿宋_GB2312"/>
          <w:b w:val="0"/>
          <w:bCs w:val="0"/>
          <w:color w:val="auto"/>
          <w:sz w:val="32"/>
          <w:szCs w:val="32"/>
          <w:highlight w:val="none"/>
        </w:rPr>
        <w:t>549.92</w:t>
      </w:r>
      <w:r>
        <w:rPr>
          <w:rStyle w:val="16"/>
          <w:rFonts w:hint="eastAsia" w:ascii="仿宋_GB2312" w:hAnsi="仿宋_GB2312" w:eastAsia="仿宋_GB2312" w:cs="仿宋_GB2312"/>
          <w:b w:val="0"/>
          <w:bCs w:val="0"/>
          <w:color w:val="auto"/>
          <w:sz w:val="32"/>
          <w:szCs w:val="32"/>
          <w:highlight w:val="none"/>
        </w:rPr>
        <w:t>万元，完成预算</w:t>
      </w:r>
      <w:r>
        <w:rPr>
          <w:rStyle w:val="16"/>
          <w:rFonts w:hint="default" w:ascii="仿宋_GB2312" w:hAnsi="仿宋_GB2312" w:eastAsia="仿宋_GB2312" w:cs="仿宋_GB2312"/>
          <w:b w:val="0"/>
          <w:bCs w:val="0"/>
          <w:color w:val="auto"/>
          <w:sz w:val="32"/>
          <w:szCs w:val="32"/>
          <w:highlight w:val="none"/>
        </w:rPr>
        <w:t>100</w:t>
      </w:r>
      <w:r>
        <w:rPr>
          <w:rStyle w:val="16"/>
          <w:rFonts w:hint="eastAsia" w:ascii="仿宋_GB2312" w:hAnsi="仿宋_GB2312" w:eastAsia="仿宋_GB2312" w:cs="仿宋_GB2312"/>
          <w:b w:val="0"/>
          <w:bCs w:val="0"/>
          <w:color w:val="auto"/>
          <w:sz w:val="32"/>
          <w:szCs w:val="32"/>
          <w:highlight w:val="none"/>
          <w:lang w:val="en-US" w:eastAsia="zh-CN"/>
        </w:rPr>
        <w:t xml:space="preserve"> </w:t>
      </w:r>
      <w:r>
        <w:rPr>
          <w:rStyle w:val="16"/>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Style w:val="16"/>
          <w:rFonts w:hint="eastAsia" w:ascii="仿宋_GB2312" w:hAnsi="仿宋_GB2312" w:eastAsia="仿宋_GB2312" w:cs="仿宋_GB2312"/>
          <w:b w:val="0"/>
          <w:bCs w:val="0"/>
          <w:color w:val="auto"/>
          <w:sz w:val="32"/>
          <w:szCs w:val="32"/>
          <w:highlight w:val="none"/>
          <w:lang w:eastAsia="zh-CN"/>
        </w:rPr>
      </w:pPr>
      <w:r>
        <w:rPr>
          <w:rStyle w:val="16"/>
          <w:rFonts w:hint="eastAsia" w:ascii="仿宋_GB2312" w:hAnsi="仿宋_GB2312" w:eastAsia="仿宋_GB2312" w:cs="仿宋_GB2312"/>
          <w:b w:val="0"/>
          <w:bCs w:val="0"/>
          <w:color w:val="auto"/>
          <w:sz w:val="32"/>
          <w:szCs w:val="32"/>
          <w:highlight w:val="none"/>
          <w:lang w:val="en-US" w:eastAsia="zh-CN"/>
        </w:rPr>
        <w:t>2.</w:t>
      </w:r>
      <w:r>
        <w:rPr>
          <w:rStyle w:val="16"/>
          <w:rFonts w:hint="eastAsia" w:ascii="仿宋_GB2312" w:hAnsi="仿宋_GB2312" w:eastAsia="仿宋_GB2312" w:cs="仿宋_GB2312"/>
          <w:b w:val="0"/>
          <w:bCs w:val="0"/>
          <w:color w:val="auto"/>
          <w:sz w:val="32"/>
          <w:szCs w:val="32"/>
          <w:highlight w:val="none"/>
        </w:rPr>
        <w:t>文化旅游体育与传媒（类）体育（款）其他体育支出（项）: 支出决算为21.87万元，完成预算</w:t>
      </w:r>
      <w:r>
        <w:rPr>
          <w:rStyle w:val="16"/>
          <w:rFonts w:hint="eastAsia" w:ascii="仿宋_GB2312" w:hAnsi="仿宋_GB2312" w:eastAsia="仿宋_GB2312" w:cs="仿宋_GB2312"/>
          <w:b w:val="0"/>
          <w:bCs w:val="0"/>
          <w:color w:val="auto"/>
          <w:sz w:val="32"/>
          <w:szCs w:val="32"/>
          <w:highlight w:val="none"/>
          <w:lang w:val="en-US" w:eastAsia="zh-CN"/>
        </w:rPr>
        <w:t>100</w:t>
      </w:r>
      <w:r>
        <w:rPr>
          <w:rStyle w:val="16"/>
          <w:rFonts w:hint="eastAsia" w:ascii="仿宋_GB2312" w:hAnsi="仿宋_GB2312" w:eastAsia="仿宋_GB2312" w:cs="仿宋_GB2312"/>
          <w:b w:val="0"/>
          <w:bCs w:val="0"/>
          <w:color w:val="auto"/>
          <w:sz w:val="32"/>
          <w:szCs w:val="32"/>
          <w:highlight w:val="none"/>
        </w:rPr>
        <w:t>%</w:t>
      </w:r>
      <w:r>
        <w:rPr>
          <w:rStyle w:val="16"/>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hint="eastAsia" w:ascii="仿宋_GB2312" w:hAnsi="仿宋_GB2312" w:eastAsia="仿宋_GB2312" w:cs="仿宋_GB2312"/>
          <w:b w:val="0"/>
          <w:bCs w:val="0"/>
          <w:color w:val="auto"/>
          <w:sz w:val="32"/>
          <w:szCs w:val="32"/>
          <w:highlight w:val="none"/>
        </w:rPr>
      </w:pPr>
      <w:r>
        <w:rPr>
          <w:rStyle w:val="16"/>
          <w:rFonts w:hint="eastAsia" w:ascii="仿宋_GB2312" w:hAnsi="仿宋_GB2312" w:eastAsia="仿宋_GB2312" w:cs="仿宋_GB2312"/>
          <w:b w:val="0"/>
          <w:bCs w:val="0"/>
          <w:color w:val="auto"/>
          <w:sz w:val="32"/>
          <w:szCs w:val="32"/>
          <w:highlight w:val="none"/>
          <w:lang w:val="en-US" w:eastAsia="zh-CN"/>
        </w:rPr>
        <w:t>3.</w:t>
      </w:r>
      <w:r>
        <w:rPr>
          <w:rStyle w:val="16"/>
          <w:rFonts w:hint="eastAsia" w:ascii="仿宋_GB2312" w:hAnsi="仿宋_GB2312" w:eastAsia="仿宋_GB2312" w:cs="仿宋_GB2312"/>
          <w:b w:val="0"/>
          <w:bCs w:val="0"/>
          <w:color w:val="auto"/>
          <w:sz w:val="32"/>
          <w:szCs w:val="32"/>
          <w:highlight w:val="none"/>
        </w:rPr>
        <w:t>社会保障和就业（类）行政事业单位养老支出（款）机关事业单位基本养老保险缴费支出（项）: 支出决算为44.89万元，完成预算</w:t>
      </w:r>
      <w:r>
        <w:rPr>
          <w:rStyle w:val="16"/>
          <w:rFonts w:hint="eastAsia" w:ascii="仿宋_GB2312" w:hAnsi="仿宋_GB2312" w:eastAsia="仿宋_GB2312" w:cs="仿宋_GB2312"/>
          <w:b w:val="0"/>
          <w:bCs w:val="0"/>
          <w:color w:val="auto"/>
          <w:sz w:val="32"/>
          <w:szCs w:val="32"/>
          <w:highlight w:val="none"/>
          <w:lang w:val="en-US" w:eastAsia="zh-CN"/>
        </w:rPr>
        <w:t>100</w:t>
      </w:r>
      <w:r>
        <w:rPr>
          <w:rStyle w:val="16"/>
          <w:rFonts w:hint="eastAsia" w:ascii="仿宋_GB2312" w:hAnsi="仿宋_GB2312" w:eastAsia="仿宋_GB2312" w:cs="仿宋_GB2312"/>
          <w:b w:val="0"/>
          <w:bCs w:val="0"/>
          <w:color w:val="auto"/>
          <w:sz w:val="32"/>
          <w:szCs w:val="32"/>
          <w:highlight w:val="none"/>
        </w:rPr>
        <w:t>%。</w:t>
      </w:r>
    </w:p>
    <w:p>
      <w:pPr>
        <w:pStyle w:val="2"/>
        <w:ind w:firstLine="640" w:firstLineChars="200"/>
        <w:rPr>
          <w:rFonts w:hint="eastAsia"/>
          <w:highlight w:val="none"/>
        </w:rPr>
      </w:pPr>
      <w:r>
        <w:rPr>
          <w:rStyle w:val="16"/>
          <w:rFonts w:hint="eastAsia" w:hAnsi="仿宋_GB2312" w:cs="仿宋_GB2312"/>
          <w:b w:val="0"/>
          <w:bCs w:val="0"/>
          <w:color w:val="auto"/>
          <w:sz w:val="32"/>
          <w:szCs w:val="32"/>
          <w:highlight w:val="none"/>
          <w:lang w:val="en-US" w:eastAsia="zh-CN"/>
        </w:rPr>
        <w:t>4.</w:t>
      </w:r>
      <w:r>
        <w:rPr>
          <w:rStyle w:val="16"/>
          <w:rFonts w:hint="eastAsia" w:ascii="仿宋_GB2312" w:hAnsi="仿宋_GB2312" w:eastAsia="仿宋_GB2312" w:cs="仿宋_GB2312"/>
          <w:b w:val="0"/>
          <w:bCs w:val="0"/>
          <w:color w:val="auto"/>
          <w:sz w:val="32"/>
          <w:szCs w:val="32"/>
          <w:highlight w:val="none"/>
        </w:rPr>
        <w:t>社会保障和就业（类）行政事业单位养老支出（款）机关事业单位职业年金缴费支出（项）: 支出决算为12.59万元，完成预算</w:t>
      </w:r>
      <w:r>
        <w:rPr>
          <w:rStyle w:val="16"/>
          <w:rFonts w:hint="eastAsia" w:ascii="仿宋_GB2312" w:hAnsi="仿宋_GB2312" w:eastAsia="仿宋_GB2312" w:cs="仿宋_GB2312"/>
          <w:b w:val="0"/>
          <w:bCs w:val="0"/>
          <w:color w:val="auto"/>
          <w:sz w:val="32"/>
          <w:szCs w:val="32"/>
          <w:highlight w:val="none"/>
          <w:lang w:val="en-US" w:eastAsia="zh-CN"/>
        </w:rPr>
        <w:t>100</w:t>
      </w:r>
      <w:r>
        <w:rPr>
          <w:rStyle w:val="16"/>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6"/>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卫生健康</w:t>
      </w:r>
      <w:r>
        <w:rPr>
          <w:rStyle w:val="16"/>
          <w:rFonts w:hint="eastAsia" w:ascii="仿宋_GB2312" w:hAnsi="仿宋_GB2312" w:eastAsia="仿宋_GB2312" w:cs="仿宋_GB2312"/>
          <w:b w:val="0"/>
          <w:bCs w:val="0"/>
          <w:color w:val="auto"/>
          <w:sz w:val="32"/>
          <w:szCs w:val="32"/>
          <w:highlight w:val="none"/>
        </w:rPr>
        <w:t>（类）行政事业单位医疗（款）事业单位医疗（项）:支出决算为17.69万元，完成预算</w:t>
      </w:r>
      <w:r>
        <w:rPr>
          <w:rStyle w:val="16"/>
          <w:rFonts w:hint="eastAsia" w:ascii="仿宋_GB2312" w:hAnsi="仿宋_GB2312" w:eastAsia="仿宋_GB2312" w:cs="仿宋_GB2312"/>
          <w:b w:val="0"/>
          <w:bCs w:val="0"/>
          <w:color w:val="auto"/>
          <w:sz w:val="32"/>
          <w:szCs w:val="32"/>
          <w:highlight w:val="none"/>
          <w:lang w:val="en-US" w:eastAsia="zh-CN"/>
        </w:rPr>
        <w:t>100</w:t>
      </w:r>
      <w:r>
        <w:rPr>
          <w:rStyle w:val="16"/>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auto"/>
          <w:sz w:val="32"/>
          <w:szCs w:val="32"/>
          <w:highlight w:val="none"/>
        </w:rPr>
      </w:pPr>
      <w:r>
        <w:rPr>
          <w:rStyle w:val="16"/>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sz w:val="32"/>
          <w:szCs w:val="32"/>
          <w:highlight w:val="none"/>
        </w:rPr>
        <w:t>住房保障支出</w:t>
      </w:r>
      <w:r>
        <w:rPr>
          <w:rStyle w:val="16"/>
          <w:rFonts w:hint="eastAsia" w:ascii="仿宋_GB2312" w:hAnsi="仿宋_GB2312" w:eastAsia="仿宋_GB2312" w:cs="仿宋_GB2312"/>
          <w:b w:val="0"/>
          <w:bCs w:val="0"/>
          <w:color w:val="auto"/>
          <w:sz w:val="32"/>
          <w:szCs w:val="32"/>
          <w:highlight w:val="none"/>
        </w:rPr>
        <w:t>（类）住房改革支出（款）住房公积金（项）</w:t>
      </w:r>
      <w:r>
        <w:rPr>
          <w:rStyle w:val="16"/>
          <w:rFonts w:hint="eastAsia" w:ascii="仿宋_GB2312" w:hAnsi="仿宋_GB2312" w:eastAsia="仿宋_GB2312" w:cs="仿宋_GB2312"/>
          <w:b w:val="0"/>
          <w:bCs w:val="0"/>
          <w:color w:val="auto"/>
          <w:sz w:val="32"/>
          <w:szCs w:val="32"/>
          <w:highlight w:val="none"/>
          <w:lang w:eastAsia="zh-CN"/>
        </w:rPr>
        <w:t>：</w:t>
      </w:r>
      <w:r>
        <w:rPr>
          <w:rStyle w:val="16"/>
          <w:rFonts w:hint="eastAsia" w:ascii="仿宋_GB2312" w:hAnsi="仿宋_GB2312" w:eastAsia="仿宋_GB2312" w:cs="仿宋_GB2312"/>
          <w:b w:val="0"/>
          <w:bCs w:val="0"/>
          <w:color w:val="auto"/>
          <w:sz w:val="32"/>
          <w:szCs w:val="32"/>
          <w:highlight w:val="none"/>
        </w:rPr>
        <w:t>支出决算为39.11万元，完成预算</w:t>
      </w:r>
      <w:r>
        <w:rPr>
          <w:rStyle w:val="16"/>
          <w:rFonts w:hint="eastAsia" w:ascii="仿宋_GB2312" w:hAnsi="仿宋_GB2312" w:eastAsia="仿宋_GB2312" w:cs="仿宋_GB2312"/>
          <w:b w:val="0"/>
          <w:bCs w:val="0"/>
          <w:color w:val="auto"/>
          <w:sz w:val="32"/>
          <w:szCs w:val="32"/>
          <w:highlight w:val="none"/>
          <w:lang w:val="en-US" w:eastAsia="zh-CN"/>
        </w:rPr>
        <w:t>100</w:t>
      </w:r>
      <w:r>
        <w:rPr>
          <w:rStyle w:val="16"/>
          <w:rFonts w:hint="eastAsia" w:ascii="仿宋_GB2312" w:hAnsi="仿宋_GB2312" w:eastAsia="仿宋_GB2312" w:cs="仿宋_GB2312"/>
          <w:b w:val="0"/>
          <w:bCs w:val="0"/>
          <w:color w:val="auto"/>
          <w:sz w:val="32"/>
          <w:szCs w:val="32"/>
          <w:highlight w:val="none"/>
        </w:rPr>
        <w:t>%。</w:t>
      </w:r>
    </w:p>
    <w:p>
      <w:pPr>
        <w:tabs>
          <w:tab w:val="right" w:pos="8306"/>
        </w:tabs>
        <w:spacing w:line="600" w:lineRule="exact"/>
        <w:ind w:firstLine="640"/>
        <w:outlineLvl w:val="1"/>
        <w:rPr>
          <w:rStyle w:val="19"/>
          <w:color w:val="auto"/>
          <w:highlight w:val="none"/>
        </w:rPr>
      </w:pPr>
      <w:bookmarkStart w:id="50" w:name="_Toc15377214"/>
      <w:bookmarkStart w:id="51" w:name="_Toc10425"/>
      <w:bookmarkStart w:id="52"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9"/>
          <w:rFonts w:hint="eastAsia" w:ascii="黑体" w:hAnsi="黑体" w:eastAsia="黑体"/>
          <w:b w:val="0"/>
          <w:color w:val="auto"/>
          <w:highlight w:val="none"/>
        </w:rPr>
        <w:t>般公共预算财政拨款基本支出决算情况说明</w:t>
      </w:r>
      <w:bookmarkEnd w:id="50"/>
      <w:bookmarkEnd w:id="51"/>
      <w:bookmarkEnd w:id="52"/>
      <w:r>
        <w:rPr>
          <w:rStyle w:val="19"/>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年一般公共预算财政拨款基本支出528.96万元，其中：</w:t>
      </w:r>
    </w:p>
    <w:p>
      <w:pPr>
        <w:spacing w:line="600" w:lineRule="exact"/>
        <w:ind w:firstLine="645"/>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人员经费494.41万元，主要包括：基本工资、津贴补贴、奖金、绩效工资、机关事业单位基本养老保险缴费、职业年金缴费、职工基本医疗保险缴费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其他社会保障缴费、生活补助、医疗费补助、奖励金、住房公积金、其他对个人和家庭的补助支出等。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公用经费34.55万元，主要包括：办公费、印刷费、咨询费、邮电费、物业管理费、差旅费、维修（护）费、公务接待费、专用材料费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工会经费、福利费、其他交通费、其他商品和服务支出、办公设备购置等</w:t>
      </w:r>
      <w:r>
        <w:rPr>
          <w:rFonts w:hint="eastAsia" w:ascii="仿宋_GB2312" w:hAnsi="仿宋_GB2312" w:eastAsia="仿宋_GB2312" w:cs="仿宋_GB2312"/>
          <w:color w:val="auto"/>
          <w:sz w:val="32"/>
          <w:szCs w:val="32"/>
          <w:highlight w:val="none"/>
          <w:lang w:eastAsia="zh-CN"/>
        </w:rPr>
        <w:t>。</w:t>
      </w:r>
    </w:p>
    <w:p>
      <w:pPr>
        <w:spacing w:line="600" w:lineRule="exact"/>
        <w:ind w:firstLine="640"/>
        <w:outlineLvl w:val="1"/>
        <w:rPr>
          <w:rStyle w:val="19"/>
          <w:rFonts w:ascii="黑体" w:hAnsi="黑体" w:eastAsia="黑体"/>
          <w:b w:val="0"/>
          <w:color w:val="auto"/>
          <w:highlight w:val="none"/>
        </w:rPr>
      </w:pPr>
      <w:bookmarkStart w:id="53" w:name="_Toc8539"/>
      <w:bookmarkStart w:id="54" w:name="_Toc15396609"/>
      <w:bookmarkStart w:id="55" w:name="_Toc15377215"/>
      <w:r>
        <w:rPr>
          <w:rFonts w:hint="eastAsia" w:ascii="黑体" w:eastAsia="黑体"/>
          <w:color w:val="auto"/>
          <w:sz w:val="32"/>
          <w:szCs w:val="32"/>
          <w:highlight w:val="none"/>
        </w:rPr>
        <w:t>七、</w:t>
      </w:r>
      <w:r>
        <w:rPr>
          <w:rStyle w:val="19"/>
          <w:rFonts w:hint="eastAsia" w:ascii="黑体" w:hAnsi="黑体" w:eastAsia="黑体"/>
          <w:b w:val="0"/>
          <w:color w:val="auto"/>
          <w:highlight w:val="none"/>
        </w:rPr>
        <w:t>财政拨款</w:t>
      </w:r>
      <w:r>
        <w:rPr>
          <w:rStyle w:val="19"/>
          <w:rFonts w:hint="eastAsia" w:ascii="黑体" w:hAnsi="黑体" w:eastAsia="黑体"/>
          <w:color w:val="auto"/>
          <w:highlight w:val="none"/>
        </w:rPr>
        <w:t>“</w:t>
      </w:r>
      <w:r>
        <w:rPr>
          <w:rStyle w:val="19"/>
          <w:rFonts w:hint="eastAsia" w:ascii="黑体" w:hAnsi="黑体" w:eastAsia="黑体"/>
          <w:b w:val="0"/>
          <w:color w:val="auto"/>
          <w:highlight w:val="none"/>
        </w:rPr>
        <w:t>三公”经费支出决算情况说明</w:t>
      </w:r>
      <w:bookmarkEnd w:id="53"/>
      <w:bookmarkEnd w:id="54"/>
      <w:bookmarkEnd w:id="55"/>
    </w:p>
    <w:p>
      <w:pPr>
        <w:spacing w:line="600" w:lineRule="exact"/>
        <w:ind w:firstLine="640"/>
        <w:outlineLvl w:val="2"/>
        <w:rPr>
          <w:rFonts w:ascii="仿宋" w:hAnsi="仿宋" w:eastAsia="仿宋"/>
          <w:b/>
          <w:color w:val="auto"/>
          <w:sz w:val="32"/>
          <w:szCs w:val="32"/>
          <w:highlight w:val="none"/>
        </w:rPr>
      </w:pPr>
      <w:bookmarkStart w:id="56" w:name="_Toc15377216"/>
      <w:r>
        <w:rPr>
          <w:rFonts w:hint="eastAsia" w:ascii="仿宋" w:hAnsi="仿宋" w:eastAsia="仿宋"/>
          <w:b/>
          <w:color w:val="auto"/>
          <w:sz w:val="32"/>
          <w:szCs w:val="32"/>
          <w:highlight w:val="none"/>
        </w:rPr>
        <w:t>（一）“三公”经费财政拨款支出决算总体情况说明</w:t>
      </w:r>
      <w:bookmarkEnd w:id="56"/>
    </w:p>
    <w:p>
      <w:pPr>
        <w:spacing w:line="600" w:lineRule="exact"/>
        <w:ind w:firstLine="640"/>
        <w:rPr>
          <w:rFonts w:hint="default"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年“三公”经费财政拨款支出决算为0.07万元，完成预算</w:t>
      </w:r>
      <w:r>
        <w:rPr>
          <w:rFonts w:hint="default"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减少0.03万元，下降30%。</w:t>
      </w:r>
      <w:r>
        <w:rPr>
          <w:rFonts w:hint="eastAsia" w:ascii="仿宋_GB2312" w:hAnsi="仿宋_GB2312" w:eastAsia="仿宋_GB2312" w:cs="仿宋_GB2312"/>
          <w:color w:val="auto"/>
          <w:sz w:val="32"/>
          <w:szCs w:val="32"/>
          <w:highlight w:val="none"/>
        </w:rPr>
        <w:t>决算数</w:t>
      </w:r>
      <w:r>
        <w:rPr>
          <w:rFonts w:hint="default"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rPr>
        <w:t>预算数</w:t>
      </w:r>
      <w:r>
        <w:rPr>
          <w:rFonts w:hint="default" w:ascii="仿宋_GB2312" w:hAnsi="仿宋_GB2312" w:eastAsia="仿宋_GB2312" w:cs="仿宋_GB2312"/>
          <w:color w:val="auto"/>
          <w:sz w:val="32"/>
          <w:szCs w:val="32"/>
          <w:highlight w:val="none"/>
        </w:rPr>
        <w:t>持平。</w:t>
      </w:r>
    </w:p>
    <w:p>
      <w:pPr>
        <w:spacing w:line="600" w:lineRule="exact"/>
        <w:ind w:firstLine="640"/>
        <w:outlineLvl w:val="2"/>
        <w:rPr>
          <w:rFonts w:ascii="仿宋" w:hAnsi="仿宋" w:eastAsia="仿宋"/>
          <w:b/>
          <w:color w:val="auto"/>
          <w:sz w:val="32"/>
          <w:szCs w:val="32"/>
          <w:highlight w:val="none"/>
        </w:rPr>
      </w:pPr>
      <w:bookmarkStart w:id="57" w:name="_Toc15377217"/>
      <w:r>
        <w:rPr>
          <w:rFonts w:hint="eastAsia" w:ascii="仿宋" w:hAnsi="仿宋" w:eastAsia="仿宋"/>
          <w:b/>
          <w:color w:val="auto"/>
          <w:sz w:val="32"/>
          <w:szCs w:val="32"/>
          <w:highlight w:val="none"/>
        </w:rPr>
        <w:t>（二）“三公”经费财政拨款支出决算具体情况说明</w:t>
      </w:r>
      <w:bookmarkEnd w:id="57"/>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0.07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%。具体情况如下：</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（图7：“三公”经费财政拨款支出结构）（饼状图）</w:t>
      </w:r>
    </w:p>
    <w:p>
      <w:pPr>
        <w:rPr>
          <w:rFonts w:hint="eastAsia" w:ascii="仿宋" w:hAnsi="仿宋" w:eastAsia="仿宋"/>
          <w:color w:val="auto"/>
          <w:sz w:val="32"/>
          <w:szCs w:val="32"/>
          <w:highlight w:val="none"/>
        </w:rPr>
      </w:pPr>
    </w:p>
    <w:p>
      <w:pPr>
        <w:pStyle w:val="2"/>
        <w:rPr>
          <w:highlight w:val="none"/>
        </w:rPr>
      </w:pPr>
      <w:r>
        <w:rPr>
          <w:rFonts w:hint="eastAsia" w:eastAsia="仿宋"/>
          <w:highlight w:val="none"/>
          <w:lang w:eastAsia="zh-CN"/>
        </w:rPr>
        <w:drawing>
          <wp:inline distT="0" distB="0" distL="114300" distR="114300">
            <wp:extent cx="3692525" cy="2868930"/>
            <wp:effectExtent l="4445" t="5080" r="17780" b="215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val="en-US" w:eastAsia="zh-CN"/>
        </w:rPr>
        <w:t>因公出国</w:t>
      </w:r>
      <w:r>
        <w:rPr>
          <w:rFonts w:hint="eastAsia" w:ascii="仿宋_GB2312" w:hAnsi="仿宋_GB2312" w:eastAsia="仿宋_GB2312" w:cs="仿宋_GB2312"/>
          <w:b w:val="0"/>
          <w:bCs/>
          <w:color w:val="auto"/>
          <w:sz w:val="32"/>
          <w:szCs w:val="32"/>
          <w:highlight w:val="none"/>
        </w:rPr>
        <w:t>（境）</w:t>
      </w:r>
      <w:r>
        <w:rPr>
          <w:rFonts w:hint="eastAsia" w:ascii="仿宋_GB2312" w:hAnsi="仿宋_GB2312" w:eastAsia="仿宋_GB2312" w:cs="仿宋_GB2312"/>
          <w:b w:val="0"/>
          <w:bCs/>
          <w:color w:val="auto"/>
          <w:sz w:val="32"/>
          <w:szCs w:val="32"/>
          <w:highlight w:val="none"/>
          <w:lang w:val="en-US" w:eastAsia="zh-CN"/>
        </w:rPr>
        <w:t>经费支出0万元，年初未安排预算，因公出国</w:t>
      </w:r>
      <w:r>
        <w:rPr>
          <w:rFonts w:hint="eastAsia" w:ascii="仿宋_GB2312" w:hAnsi="仿宋_GB2312" w:eastAsia="仿宋_GB2312" w:cs="仿宋_GB2312"/>
          <w:b w:val="0"/>
          <w:bCs/>
          <w:color w:val="auto"/>
          <w:sz w:val="32"/>
          <w:szCs w:val="32"/>
          <w:highlight w:val="none"/>
        </w:rPr>
        <w:t>（境）</w:t>
      </w:r>
      <w:r>
        <w:rPr>
          <w:rFonts w:hint="eastAsia" w:ascii="仿宋_GB2312" w:hAnsi="仿宋_GB2312" w:eastAsia="仿宋_GB2312" w:cs="仿宋_GB2312"/>
          <w:b w:val="0"/>
          <w:bCs/>
          <w:color w:val="auto"/>
          <w:sz w:val="32"/>
          <w:szCs w:val="32"/>
          <w:highlight w:val="none"/>
          <w:lang w:val="en-US" w:eastAsia="zh-CN"/>
        </w:rPr>
        <w:t>支出决算较2021年无变化。</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2.公务用车购置及运行维护费支出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val="en-US" w:eastAsia="zh-CN"/>
        </w:rPr>
        <w:t>年初未安排预算，因公出国</w:t>
      </w:r>
      <w:r>
        <w:rPr>
          <w:rFonts w:hint="eastAsia" w:ascii="仿宋_GB2312" w:hAnsi="仿宋_GB2312" w:eastAsia="仿宋_GB2312" w:cs="仿宋_GB2312"/>
          <w:b w:val="0"/>
          <w:bCs/>
          <w:color w:val="auto"/>
          <w:sz w:val="32"/>
          <w:szCs w:val="32"/>
          <w:highlight w:val="none"/>
        </w:rPr>
        <w:t>（境）</w:t>
      </w:r>
      <w:r>
        <w:rPr>
          <w:rFonts w:hint="eastAsia" w:ascii="仿宋_GB2312" w:hAnsi="仿宋_GB2312" w:eastAsia="仿宋_GB2312" w:cs="仿宋_GB2312"/>
          <w:b w:val="0"/>
          <w:bCs/>
          <w:color w:val="auto"/>
          <w:sz w:val="32"/>
          <w:szCs w:val="32"/>
          <w:highlight w:val="none"/>
          <w:lang w:val="en-US" w:eastAsia="zh-CN"/>
        </w:rPr>
        <w:t>支出决算较2021年无变化。</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其中：公务用车购置支出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万元。全年按规定更新购置公务用车</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辆。截至20</w:t>
      </w:r>
      <w:r>
        <w:rPr>
          <w:rFonts w:hint="eastAsia" w:ascii="仿宋_GB2312" w:hAnsi="仿宋_GB2312" w:eastAsia="仿宋_GB2312" w:cs="仿宋_GB2312"/>
          <w:b w:val="0"/>
          <w:bCs/>
          <w:color w:val="auto"/>
          <w:sz w:val="32"/>
          <w:szCs w:val="32"/>
          <w:highlight w:val="none"/>
          <w:lang w:val="en-US" w:eastAsia="zh-CN"/>
        </w:rPr>
        <w:t>22</w:t>
      </w:r>
      <w:r>
        <w:rPr>
          <w:rFonts w:hint="eastAsia" w:ascii="仿宋_GB2312" w:hAnsi="仿宋_GB2312" w:eastAsia="仿宋_GB2312" w:cs="仿宋_GB2312"/>
          <w:b w:val="0"/>
          <w:bCs/>
          <w:color w:val="auto"/>
          <w:sz w:val="32"/>
          <w:szCs w:val="32"/>
          <w:highlight w:val="none"/>
        </w:rPr>
        <w:t>年12月底，单位共有公务用车</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辆。</w:t>
      </w:r>
    </w:p>
    <w:p>
      <w:pPr>
        <w:spacing w:line="600" w:lineRule="exact"/>
        <w:ind w:firstLine="64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公务用车运行维护费支出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w:t>
      </w:r>
    </w:p>
    <w:p>
      <w:pPr>
        <w:spacing w:line="600" w:lineRule="exact"/>
        <w:ind w:firstLine="64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3.公务接待费支出</w:t>
      </w:r>
      <w:r>
        <w:rPr>
          <w:rFonts w:hint="eastAsia" w:ascii="仿宋_GB2312" w:hAnsi="仿宋_GB2312" w:eastAsia="仿宋_GB2312" w:cs="仿宋_GB2312"/>
          <w:b w:val="0"/>
          <w:bCs/>
          <w:color w:val="auto"/>
          <w:sz w:val="32"/>
          <w:szCs w:val="32"/>
          <w:highlight w:val="none"/>
          <w:lang w:val="en-US" w:eastAsia="zh-CN"/>
        </w:rPr>
        <w:t>0.07</w:t>
      </w:r>
      <w:r>
        <w:rPr>
          <w:rFonts w:hint="eastAsia" w:ascii="仿宋_GB2312" w:hAnsi="仿宋_GB2312" w:eastAsia="仿宋_GB2312" w:cs="仿宋_GB2312"/>
          <w:b w:val="0"/>
          <w:bCs/>
          <w:color w:val="auto"/>
          <w:sz w:val="32"/>
          <w:szCs w:val="32"/>
          <w:highlight w:val="none"/>
        </w:rPr>
        <w:t>万元，</w:t>
      </w:r>
      <w:r>
        <w:rPr>
          <w:rStyle w:val="16"/>
          <w:rFonts w:hint="eastAsia" w:ascii="仿宋_GB2312" w:hAnsi="仿宋_GB2312" w:eastAsia="仿宋_GB2312" w:cs="仿宋_GB2312"/>
          <w:b w:val="0"/>
          <w:bCs/>
          <w:color w:val="auto"/>
          <w:sz w:val="32"/>
          <w:szCs w:val="32"/>
          <w:highlight w:val="none"/>
        </w:rPr>
        <w:t>完成预算</w:t>
      </w:r>
      <w:r>
        <w:rPr>
          <w:rStyle w:val="16"/>
          <w:rFonts w:hint="default" w:ascii="仿宋_GB2312" w:hAnsi="仿宋_GB2312" w:eastAsia="仿宋_GB2312" w:cs="仿宋_GB2312"/>
          <w:b w:val="0"/>
          <w:bCs/>
          <w:color w:val="auto"/>
          <w:sz w:val="32"/>
          <w:szCs w:val="32"/>
          <w:highlight w:val="none"/>
        </w:rPr>
        <w:t>100</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rPr>
        <w:t>公务接待费支出决算比20</w:t>
      </w:r>
      <w:r>
        <w:rPr>
          <w:rFonts w:hint="eastAsia" w:ascii="仿宋_GB2312" w:hAnsi="仿宋_GB2312" w:eastAsia="仿宋_GB2312" w:cs="仿宋_GB2312"/>
          <w:b w:val="0"/>
          <w:bCs/>
          <w:color w:val="auto"/>
          <w:sz w:val="32"/>
          <w:szCs w:val="32"/>
          <w:highlight w:val="none"/>
          <w:lang w:val="en-US" w:eastAsia="zh-CN"/>
        </w:rPr>
        <w:t>21</w:t>
      </w:r>
      <w:r>
        <w:rPr>
          <w:rFonts w:hint="eastAsia" w:ascii="仿宋_GB2312" w:hAnsi="仿宋_GB2312" w:eastAsia="仿宋_GB2312" w:cs="仿宋_GB2312"/>
          <w:b w:val="0"/>
          <w:bCs/>
          <w:color w:val="auto"/>
          <w:sz w:val="32"/>
          <w:szCs w:val="32"/>
          <w:highlight w:val="none"/>
        </w:rPr>
        <w:t>年减少</w:t>
      </w:r>
      <w:r>
        <w:rPr>
          <w:rFonts w:hint="eastAsia" w:ascii="仿宋_GB2312" w:hAnsi="仿宋_GB2312" w:eastAsia="仿宋_GB2312" w:cs="仿宋_GB2312"/>
          <w:b w:val="0"/>
          <w:bCs/>
          <w:color w:val="auto"/>
          <w:sz w:val="32"/>
          <w:szCs w:val="32"/>
          <w:highlight w:val="none"/>
          <w:lang w:val="en-US" w:eastAsia="zh-CN"/>
        </w:rPr>
        <w:t>0.03</w:t>
      </w:r>
      <w:r>
        <w:rPr>
          <w:rFonts w:hint="eastAsia" w:ascii="仿宋_GB2312" w:hAnsi="仿宋_GB2312" w:eastAsia="仿宋_GB2312" w:cs="仿宋_GB2312"/>
          <w:b w:val="0"/>
          <w:bCs/>
          <w:color w:val="auto"/>
          <w:sz w:val="32"/>
          <w:szCs w:val="32"/>
          <w:highlight w:val="none"/>
        </w:rPr>
        <w:t>万元，下降</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%。主要原因是</w:t>
      </w:r>
      <w:r>
        <w:rPr>
          <w:rStyle w:val="16"/>
          <w:rFonts w:hint="eastAsia" w:ascii="仿宋_GB2312" w:hAnsi="仿宋_GB2312" w:eastAsia="仿宋_GB2312" w:cs="仿宋_GB2312"/>
          <w:b w:val="0"/>
          <w:bCs/>
          <w:color w:val="auto"/>
          <w:sz w:val="32"/>
          <w:szCs w:val="32"/>
          <w:highlight w:val="none"/>
          <w:lang w:val="en-US" w:eastAsia="zh-CN"/>
        </w:rPr>
        <w:t>严格执行相关规定，控制标准，限制陪同人数，压缩接待费支出</w:t>
      </w:r>
      <w:r>
        <w:rPr>
          <w:rFonts w:hint="eastAsia" w:ascii="仿宋_GB2312" w:hAnsi="仿宋_GB2312" w:eastAsia="仿宋_GB2312" w:cs="仿宋_GB2312"/>
          <w:b w:val="0"/>
          <w:bCs/>
          <w:color w:val="auto"/>
          <w:sz w:val="32"/>
          <w:szCs w:val="32"/>
          <w:highlight w:val="none"/>
        </w:rPr>
        <w:t>。其中：</w:t>
      </w:r>
    </w:p>
    <w:p>
      <w:pPr>
        <w:spacing w:line="600" w:lineRule="exact"/>
        <w:ind w:firstLine="64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国内公务接待支出</w:t>
      </w:r>
      <w:r>
        <w:rPr>
          <w:rFonts w:hint="eastAsia" w:ascii="仿宋_GB2312" w:hAnsi="仿宋_GB2312" w:eastAsia="仿宋_GB2312" w:cs="仿宋_GB2312"/>
          <w:b w:val="0"/>
          <w:bCs/>
          <w:color w:val="auto"/>
          <w:sz w:val="32"/>
          <w:szCs w:val="32"/>
          <w:highlight w:val="none"/>
          <w:lang w:val="en-US" w:eastAsia="zh-CN"/>
        </w:rPr>
        <w:t>0.07</w:t>
      </w:r>
      <w:r>
        <w:rPr>
          <w:rFonts w:hint="eastAsia" w:ascii="仿宋_GB2312" w:hAnsi="仿宋_GB2312" w:eastAsia="仿宋_GB2312" w:cs="仿宋_GB2312"/>
          <w:b w:val="0"/>
          <w:bCs/>
          <w:color w:val="auto"/>
          <w:sz w:val="32"/>
          <w:szCs w:val="32"/>
          <w:highlight w:val="none"/>
        </w:rPr>
        <w:t>万元，主要用于执行公务用餐费。国内公务接待</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批次，</w:t>
      </w:r>
      <w:r>
        <w:rPr>
          <w:rFonts w:hint="eastAsia" w:ascii="仿宋_GB2312" w:hAnsi="仿宋_GB2312" w:eastAsia="仿宋_GB2312" w:cs="仿宋_GB2312"/>
          <w:b w:val="0"/>
          <w:bCs/>
          <w:color w:val="auto"/>
          <w:sz w:val="32"/>
          <w:szCs w:val="32"/>
          <w:highlight w:val="none"/>
          <w:lang w:val="en-US" w:eastAsia="zh-CN"/>
        </w:rPr>
        <w:t>7</w:t>
      </w:r>
      <w:r>
        <w:rPr>
          <w:rFonts w:hint="eastAsia" w:ascii="仿宋_GB2312" w:hAnsi="仿宋_GB2312" w:eastAsia="仿宋_GB2312" w:cs="仿宋_GB2312"/>
          <w:b w:val="0"/>
          <w:bCs/>
          <w:color w:val="auto"/>
          <w:sz w:val="32"/>
          <w:szCs w:val="32"/>
          <w:highlight w:val="none"/>
        </w:rPr>
        <w:t>人次（不包括陪同人员），共计支出</w:t>
      </w:r>
      <w:r>
        <w:rPr>
          <w:rFonts w:hint="eastAsia" w:ascii="仿宋_GB2312" w:hAnsi="仿宋_GB2312" w:eastAsia="仿宋_GB2312" w:cs="仿宋_GB2312"/>
          <w:b w:val="0"/>
          <w:bCs/>
          <w:color w:val="auto"/>
          <w:sz w:val="32"/>
          <w:szCs w:val="32"/>
          <w:highlight w:val="none"/>
          <w:lang w:val="en-US" w:eastAsia="zh-CN"/>
        </w:rPr>
        <w:t>0.07</w:t>
      </w:r>
      <w:r>
        <w:rPr>
          <w:rFonts w:hint="eastAsia" w:ascii="仿宋_GB2312" w:hAnsi="仿宋_GB2312" w:eastAsia="仿宋_GB2312" w:cs="仿宋_GB2312"/>
          <w:b w:val="0"/>
          <w:bCs/>
          <w:color w:val="auto"/>
          <w:sz w:val="32"/>
          <w:szCs w:val="32"/>
          <w:highlight w:val="none"/>
        </w:rPr>
        <w:t>万元，具体内容包括：</w:t>
      </w:r>
      <w:r>
        <w:rPr>
          <w:rFonts w:hint="eastAsia" w:ascii="仿宋_GB2312" w:hAnsi="仿宋_GB2312" w:eastAsia="仿宋_GB2312" w:cs="仿宋_GB2312"/>
          <w:b w:val="0"/>
          <w:bCs/>
          <w:color w:val="auto"/>
          <w:sz w:val="32"/>
          <w:szCs w:val="32"/>
          <w:highlight w:val="none"/>
          <w:lang w:eastAsia="zh-CN"/>
        </w:rPr>
        <w:t>接待开展项目梯队建设</w:t>
      </w:r>
      <w:r>
        <w:rPr>
          <w:rFonts w:hint="eastAsia" w:ascii="仿宋_GB2312" w:hAnsi="仿宋_GB2312" w:eastAsia="仿宋_GB2312" w:cs="仿宋_GB2312"/>
          <w:b w:val="0"/>
          <w:bCs/>
          <w:color w:val="auto"/>
          <w:sz w:val="32"/>
          <w:szCs w:val="32"/>
          <w:highlight w:val="none"/>
          <w:lang w:val="en-US" w:eastAsia="zh-CN"/>
        </w:rPr>
        <w:t>1批次，</w:t>
      </w:r>
      <w:r>
        <w:rPr>
          <w:rFonts w:hint="eastAsia" w:ascii="仿宋_GB2312" w:hAnsi="仿宋_GB2312" w:eastAsia="仿宋_GB2312" w:cs="仿宋_GB2312"/>
          <w:b w:val="0"/>
          <w:bCs/>
          <w:color w:val="auto"/>
          <w:sz w:val="32"/>
          <w:szCs w:val="32"/>
          <w:highlight w:val="none"/>
          <w:lang w:eastAsia="zh-CN"/>
        </w:rPr>
        <w:t>费用</w:t>
      </w:r>
      <w:r>
        <w:rPr>
          <w:rFonts w:hint="eastAsia" w:ascii="仿宋_GB2312" w:hAnsi="仿宋_GB2312" w:eastAsia="仿宋_GB2312" w:cs="仿宋_GB2312"/>
          <w:b w:val="0"/>
          <w:bCs/>
          <w:color w:val="auto"/>
          <w:sz w:val="32"/>
          <w:szCs w:val="32"/>
          <w:highlight w:val="none"/>
          <w:lang w:val="en-US" w:eastAsia="zh-CN"/>
        </w:rPr>
        <w:t>0.07万元。</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外事接待支出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val="en-US" w:eastAsia="zh-CN"/>
        </w:rPr>
        <w:t>。</w:t>
      </w:r>
    </w:p>
    <w:p>
      <w:pPr>
        <w:spacing w:line="600" w:lineRule="exact"/>
        <w:ind w:firstLine="640"/>
        <w:outlineLvl w:val="1"/>
        <w:rPr>
          <w:rStyle w:val="19"/>
          <w:rFonts w:ascii="黑体" w:hAnsi="黑体" w:eastAsia="黑体"/>
          <w:color w:val="auto"/>
          <w:highlight w:val="none"/>
        </w:rPr>
      </w:pPr>
      <w:bookmarkStart w:id="58" w:name="_Toc15396610"/>
      <w:bookmarkStart w:id="59" w:name="_Toc15377218"/>
      <w:bookmarkStart w:id="60" w:name="_Toc5376"/>
      <w:r>
        <w:rPr>
          <w:rFonts w:hint="eastAsia" w:ascii="黑体" w:eastAsia="黑体"/>
          <w:color w:val="auto"/>
          <w:sz w:val="32"/>
          <w:szCs w:val="32"/>
          <w:highlight w:val="none"/>
        </w:rPr>
        <w:t>八、</w:t>
      </w:r>
      <w:r>
        <w:rPr>
          <w:rStyle w:val="19"/>
          <w:rFonts w:hint="eastAsia" w:ascii="黑体" w:hAnsi="黑体" w:eastAsia="黑体"/>
          <w:b w:val="0"/>
          <w:color w:val="auto"/>
          <w:highlight w:val="none"/>
        </w:rPr>
        <w:t>政府性基金预算支出决算情况说明</w:t>
      </w:r>
      <w:bookmarkEnd w:id="58"/>
      <w:bookmarkEnd w:id="59"/>
      <w:bookmarkEnd w:id="6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172.27</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19"/>
          <w:rFonts w:ascii="黑体" w:hAnsi="黑体" w:eastAsia="黑体"/>
          <w:b w:val="0"/>
          <w:color w:val="auto"/>
          <w:highlight w:val="none"/>
        </w:rPr>
      </w:pPr>
      <w:bookmarkStart w:id="61" w:name="_Toc15377219"/>
      <w:bookmarkStart w:id="62" w:name="_Toc15396611"/>
      <w:bookmarkStart w:id="63" w:name="_Toc22818"/>
      <w:r>
        <w:rPr>
          <w:rStyle w:val="19"/>
          <w:rFonts w:hint="eastAsia" w:ascii="黑体" w:hAnsi="黑体" w:eastAsia="黑体"/>
          <w:b w:val="0"/>
          <w:color w:val="auto"/>
          <w:highlight w:val="none"/>
        </w:rPr>
        <w:t>国有资本经营预算支出决算情况说明</w:t>
      </w:r>
      <w:bookmarkEnd w:id="61"/>
      <w:bookmarkEnd w:id="62"/>
      <w:bookmarkEnd w:id="63"/>
    </w:p>
    <w:p>
      <w:pPr>
        <w:spacing w:line="600" w:lineRule="exact"/>
        <w:ind w:firstLine="640"/>
        <w:rPr>
          <w:rFonts w:ascii="方正小标宋简体" w:hAnsi="方正小标宋简体" w:eastAsia="方正小标宋简体" w:cs="方正小标宋简体"/>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19"/>
          <w:rFonts w:hint="eastAsia" w:ascii="黑体" w:hAnsi="黑体" w:eastAsia="黑体"/>
          <w:b w:val="0"/>
          <w:color w:val="auto"/>
          <w:highlight w:val="none"/>
        </w:rPr>
      </w:pPr>
      <w:bookmarkStart w:id="64" w:name="_Toc18552"/>
      <w:bookmarkStart w:id="65" w:name="_Toc15377221"/>
      <w:bookmarkStart w:id="66" w:name="_Toc15396612"/>
      <w:r>
        <w:rPr>
          <w:rStyle w:val="19"/>
          <w:rFonts w:hint="eastAsia" w:ascii="黑体" w:hAnsi="黑体" w:eastAsia="黑体"/>
          <w:b w:val="0"/>
          <w:color w:val="auto"/>
          <w:highlight w:val="none"/>
        </w:rPr>
        <w:t>其他重要事项的情况说明</w:t>
      </w:r>
      <w:bookmarkEnd w:id="64"/>
      <w:bookmarkEnd w:id="65"/>
      <w:bookmarkEnd w:id="66"/>
    </w:p>
    <w:p>
      <w:pPr>
        <w:spacing w:line="600" w:lineRule="exact"/>
        <w:ind w:firstLine="642" w:firstLineChars="200"/>
        <w:outlineLvl w:val="2"/>
        <w:rPr>
          <w:rFonts w:ascii="仿宋" w:hAnsi="仿宋" w:eastAsia="仿宋"/>
          <w:color w:val="auto"/>
          <w:sz w:val="32"/>
          <w:szCs w:val="32"/>
          <w:highlight w:val="none"/>
        </w:rPr>
      </w:pPr>
      <w:bookmarkStart w:id="67" w:name="_Toc15377222"/>
      <w:r>
        <w:rPr>
          <w:rFonts w:hint="eastAsia" w:ascii="仿宋" w:hAnsi="仿宋" w:eastAsia="仿宋"/>
          <w:b/>
          <w:color w:val="auto"/>
          <w:sz w:val="32"/>
          <w:szCs w:val="32"/>
          <w:highlight w:val="none"/>
        </w:rPr>
        <w:t>（一）机关运行经费支出情况</w:t>
      </w:r>
      <w:bookmarkEnd w:id="67"/>
    </w:p>
    <w:p>
      <w:pPr>
        <w:spacing w:line="600" w:lineRule="exact"/>
        <w:ind w:firstLine="640" w:firstLineChars="200"/>
        <w:rPr>
          <w:rFonts w:hint="eastAsia" w:ascii="仿宋_GB2312" w:hAnsi="仿宋_GB2312" w:eastAsia="仿宋_GB2312" w:cs="仿宋_GB2312"/>
          <w:b w:val="0"/>
          <w:bCs/>
          <w:color w:val="auto"/>
          <w:sz w:val="32"/>
          <w:szCs w:val="32"/>
          <w:highlight w:val="none"/>
          <w:lang w:val="en-US"/>
        </w:rPr>
      </w:pPr>
      <w:bookmarkStart w:id="68" w:name="_Toc15377223"/>
      <w:r>
        <w:rPr>
          <w:rFonts w:hint="eastAsia" w:ascii="仿宋_GB2312" w:hAnsi="仿宋_GB2312" w:eastAsia="仿宋_GB2312" w:cs="仿宋_GB2312"/>
          <w:b w:val="0"/>
          <w:bCs/>
          <w:color w:val="auto"/>
          <w:sz w:val="32"/>
          <w:szCs w:val="32"/>
          <w:highlight w:val="none"/>
          <w:lang w:val="en-US" w:eastAsia="zh-CN"/>
        </w:rPr>
        <w:t>2022年</w:t>
      </w:r>
      <w:r>
        <w:rPr>
          <w:rFonts w:hint="eastAsia" w:ascii="仿宋_GB2312" w:hAnsi="仿宋_GB2312" w:eastAsia="仿宋_GB2312" w:cs="仿宋_GB2312"/>
          <w:b w:val="0"/>
          <w:bCs/>
          <w:i w:val="0"/>
          <w:iCs w:val="0"/>
          <w:caps w:val="0"/>
          <w:color w:val="000000"/>
          <w:spacing w:val="0"/>
          <w:sz w:val="32"/>
          <w:szCs w:val="32"/>
          <w:highlight w:val="none"/>
        </w:rPr>
        <w:t>未发生机关运行经费支出</w:t>
      </w:r>
      <w:r>
        <w:rPr>
          <w:rFonts w:hint="eastAsia" w:ascii="仿宋_GB2312" w:hAnsi="仿宋_GB2312" w:eastAsia="仿宋_GB2312" w:cs="仿宋_GB2312"/>
          <w:b w:val="0"/>
          <w:bCs/>
          <w:i w:val="0"/>
          <w:iCs w:val="0"/>
          <w:caps w:val="0"/>
          <w:color w:val="000000"/>
          <w:spacing w:val="0"/>
          <w:sz w:val="32"/>
          <w:szCs w:val="32"/>
          <w:highlight w:val="none"/>
          <w:lang w:eastAsia="zh-CN"/>
        </w:rPr>
        <w:t>，</w:t>
      </w:r>
      <w:r>
        <w:rPr>
          <w:rFonts w:hint="eastAsia" w:ascii="仿宋_GB2312" w:hAnsi="仿宋_GB2312" w:eastAsia="仿宋_GB2312" w:cs="仿宋_GB2312"/>
          <w:b w:val="0"/>
          <w:bCs/>
          <w:i w:val="0"/>
          <w:iCs w:val="0"/>
          <w:caps w:val="0"/>
          <w:color w:val="000000"/>
          <w:spacing w:val="0"/>
          <w:sz w:val="32"/>
          <w:szCs w:val="32"/>
          <w:highlight w:val="none"/>
          <w:lang w:val="en-US" w:eastAsia="zh-CN"/>
        </w:rPr>
        <w:t>与2021年决算数持平。</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68"/>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s="仿宋_GB2312"/>
          <w:color w:val="auto"/>
          <w:sz w:val="32"/>
          <w:szCs w:val="32"/>
          <w:highlight w:val="none"/>
          <w:lang w:eastAsia="zh-CN"/>
        </w:rPr>
        <w:t>市业余体校</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49.66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49.66</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val="en-US" w:eastAsia="zh-CN"/>
        </w:rPr>
        <w:t>参加四川省第十四届运动会比赛器材采购、</w:t>
      </w:r>
      <w:r>
        <w:rPr>
          <w:rFonts w:hint="eastAsia" w:ascii="仿宋_GB2312" w:eastAsia="仿宋_GB2312"/>
          <w:color w:val="auto"/>
          <w:sz w:val="32"/>
          <w:szCs w:val="32"/>
          <w:highlight w:val="none"/>
          <w:lang w:eastAsia="zh-CN"/>
        </w:rPr>
        <w:t>办公打印机设备和空调采购等</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49.66</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49.66</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69" w:name="_Toc15377224"/>
      <w:r>
        <w:rPr>
          <w:rFonts w:hint="eastAsia" w:ascii="仿宋" w:hAnsi="仿宋" w:eastAsia="仿宋"/>
          <w:b/>
          <w:color w:val="auto"/>
          <w:sz w:val="32"/>
          <w:szCs w:val="32"/>
          <w:highlight w:val="none"/>
        </w:rPr>
        <w:t>（三）国有资产占有使用情况</w:t>
      </w:r>
      <w:bookmarkEnd w:id="6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市业余体校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6"/>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体校学生、教练员训练生活补助</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、业余训练经费、备战省十四运会专项训练经费、体育发展专项资金、乡村振兴工作经费、青少年足球训练中心经费</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个项目开展绩效自评，绩效自评表详见</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18"/>
          <w:rFonts w:ascii="黑体" w:hAnsi="黑体" w:eastAsia="黑体"/>
          <w:b w:val="0"/>
          <w:color w:val="auto"/>
          <w:highlight w:val="none"/>
        </w:rPr>
      </w:pPr>
      <w:bookmarkStart w:id="70" w:name="_Toc15475"/>
      <w:bookmarkStart w:id="71" w:name="_Toc15396613"/>
      <w:bookmarkStart w:id="72" w:name="_Toc15377225"/>
      <w:r>
        <w:rPr>
          <w:rFonts w:hint="eastAsia" w:ascii="黑体" w:hAnsi="黑体" w:eastAsia="黑体"/>
          <w:color w:val="auto"/>
          <w:sz w:val="44"/>
          <w:szCs w:val="44"/>
          <w:highlight w:val="none"/>
        </w:rPr>
        <w:t>名</w:t>
      </w:r>
      <w:r>
        <w:rPr>
          <w:rStyle w:val="18"/>
          <w:rFonts w:hint="eastAsia" w:ascii="黑体" w:hAnsi="黑体" w:eastAsia="黑体"/>
          <w:b w:val="0"/>
          <w:color w:val="auto"/>
          <w:highlight w:val="none"/>
        </w:rPr>
        <w:t>词解释</w:t>
      </w:r>
      <w:bookmarkEnd w:id="70"/>
      <w:bookmarkEnd w:id="71"/>
      <w:bookmarkEnd w:id="72"/>
    </w:p>
    <w:p>
      <w:pPr>
        <w:spacing w:line="600" w:lineRule="exact"/>
        <w:jc w:val="left"/>
        <w:rPr>
          <w:rFonts w:ascii="宋体"/>
          <w:b/>
          <w:color w:val="auto"/>
          <w:sz w:val="44"/>
          <w:szCs w:val="44"/>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outlineLvl w:val="1"/>
        <w:rPr>
          <w:rFonts w:ascii="仿宋_GB2312" w:eastAsia="仿宋_GB2312"/>
          <w:color w:val="auto"/>
          <w:sz w:val="32"/>
          <w:szCs w:val="32"/>
          <w:highlight w:val="none"/>
        </w:rPr>
      </w:pPr>
      <w:bookmarkStart w:id="73" w:name="_Toc31483"/>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3"/>
    </w:p>
    <w:p>
      <w:pPr>
        <w:pStyle w:val="27"/>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s="宋体"/>
          <w:b w:val="0"/>
          <w:bCs w:val="0"/>
          <w:color w:val="auto"/>
          <w:kern w:val="2"/>
          <w:sz w:val="32"/>
          <w:szCs w:val="32"/>
          <w:highlight w:val="none"/>
        </w:rPr>
        <w:t>银行存款利息收入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7"/>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b w:val="0"/>
          <w:bCs w:val="0"/>
          <w:color w:val="000000"/>
          <w:sz w:val="32"/>
          <w:szCs w:val="32"/>
          <w:highlight w:val="none"/>
        </w:rPr>
        <w:t>文化体育与传媒（类）体育（款）体育训练（项）：指</w:t>
      </w:r>
      <w:r>
        <w:rPr>
          <w:rFonts w:hint="eastAsia" w:ascii="仿宋_GB2312" w:eastAsia="仿宋_GB2312"/>
          <w:b w:val="0"/>
          <w:bCs w:val="0"/>
          <w:color w:val="000000"/>
          <w:sz w:val="32"/>
          <w:szCs w:val="32"/>
          <w:highlight w:val="none"/>
          <w:lang w:eastAsia="zh-CN"/>
        </w:rPr>
        <w:t>人员支出、体育运动队训练补助及器材购置等方面的支出</w:t>
      </w:r>
      <w:r>
        <w:rPr>
          <w:rFonts w:hint="eastAsia" w:ascii="仿宋_GB2312" w:eastAsia="仿宋_GB2312"/>
          <w:b w:val="0"/>
          <w:bCs w:val="0"/>
          <w:color w:val="000000"/>
          <w:sz w:val="32"/>
          <w:szCs w:val="32"/>
          <w:highlight w:val="none"/>
        </w:rPr>
        <w:t>。</w:t>
      </w:r>
    </w:p>
    <w:p>
      <w:pPr>
        <w:pStyle w:val="2"/>
        <w:keepNext w:val="0"/>
        <w:keepLines w:val="0"/>
        <w:pageBreakBefore w:val="0"/>
        <w:widowControl w:val="0"/>
        <w:kinsoku/>
        <w:wordWrap/>
        <w:overflowPunct/>
        <w:topLinePunct w:val="0"/>
        <w:bidi w:val="0"/>
        <w:snapToGrid/>
        <w:spacing w:line="576" w:lineRule="exact"/>
        <w:ind w:firstLine="640" w:firstLineChars="200"/>
        <w:textAlignment w:val="auto"/>
        <w:rPr>
          <w:rFonts w:hint="eastAsia" w:eastAsia="仿宋_GB2312"/>
          <w:color w:val="auto"/>
          <w:highlight w:val="none"/>
          <w:lang w:eastAsia="zh-CN"/>
        </w:rPr>
      </w:pPr>
      <w:r>
        <w:rPr>
          <w:rStyle w:val="16"/>
          <w:rFonts w:hint="eastAsia" w:cs="仿宋_GB2312"/>
          <w:b w:val="0"/>
          <w:bCs w:val="0"/>
          <w:color w:val="auto"/>
          <w:sz w:val="32"/>
          <w:szCs w:val="32"/>
          <w:highlight w:val="none"/>
          <w:lang w:val="en-US" w:eastAsia="zh-CN"/>
        </w:rPr>
        <w:t>6</w:t>
      </w:r>
      <w:r>
        <w:rPr>
          <w:rFonts w:ascii="仿宋_GB2312" w:eastAsia="仿宋_GB2312"/>
          <w:color w:val="auto"/>
          <w:sz w:val="32"/>
          <w:szCs w:val="32"/>
          <w:highlight w:val="none"/>
        </w:rPr>
        <w:t>.</w:t>
      </w:r>
      <w:r>
        <w:rPr>
          <w:rStyle w:val="16"/>
          <w:rFonts w:hint="eastAsia" w:ascii="仿宋_GB2312" w:eastAsia="仿宋_GB2312" w:cs="仿宋_GB2312"/>
          <w:b w:val="0"/>
          <w:bCs w:val="0"/>
          <w:color w:val="auto"/>
          <w:sz w:val="32"/>
          <w:szCs w:val="32"/>
          <w:highlight w:val="none"/>
        </w:rPr>
        <w:t>文化旅游体育与传媒（类）体育（款）其他体育支出（项）</w:t>
      </w:r>
      <w:r>
        <w:rPr>
          <w:rStyle w:val="16"/>
          <w:rFonts w:hint="eastAsia" w:cs="仿宋_GB2312"/>
          <w:b w:val="0"/>
          <w:bCs w:val="0"/>
          <w:color w:val="auto"/>
          <w:sz w:val="32"/>
          <w:szCs w:val="32"/>
          <w:highlight w:val="none"/>
          <w:lang w:eastAsia="zh-CN"/>
        </w:rPr>
        <w:t>：指其他用于体育方面的支出。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7</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社会保障和就业（类）行政事业单位养老支出（款） 机关事业单位基本养老保险缴费支出（项）：指</w:t>
      </w:r>
      <w:r>
        <w:rPr>
          <w:rFonts w:hint="eastAsia" w:ascii="仿宋_GB2312" w:eastAsia="仿宋_GB2312"/>
          <w:b w:val="0"/>
          <w:bCs w:val="0"/>
          <w:color w:val="auto"/>
          <w:sz w:val="32"/>
          <w:szCs w:val="32"/>
          <w:highlight w:val="none"/>
          <w:lang w:eastAsia="zh-CN"/>
        </w:rPr>
        <w:t>实施养老保险制度由单位缴纳的基本养老保险费支出</w:t>
      </w:r>
      <w:r>
        <w:rPr>
          <w:rFonts w:hint="eastAsia" w:ascii="仿宋_GB2312" w:eastAsia="仿宋_GB2312"/>
          <w:b w:val="0"/>
          <w:bCs w:val="0"/>
          <w:color w:val="auto"/>
          <w:sz w:val="32"/>
          <w:szCs w:val="32"/>
          <w:highlight w:val="none"/>
        </w:rPr>
        <w:t>。</w:t>
      </w:r>
    </w:p>
    <w:p>
      <w:pPr>
        <w:pStyle w:val="2"/>
        <w:keepNext w:val="0"/>
        <w:keepLines w:val="0"/>
        <w:pageBreakBefore w:val="0"/>
        <w:widowControl w:val="0"/>
        <w:kinsoku/>
        <w:wordWrap/>
        <w:overflowPunct/>
        <w:topLinePunct w:val="0"/>
        <w:bidi w:val="0"/>
        <w:snapToGrid/>
        <w:spacing w:line="576" w:lineRule="exact"/>
        <w:ind w:firstLine="640" w:firstLineChars="200"/>
        <w:textAlignment w:val="auto"/>
        <w:rPr>
          <w:rFonts w:hint="eastAsia" w:eastAsia="仿宋_GB2312"/>
          <w:highlight w:val="none"/>
          <w:lang w:eastAsia="zh-CN"/>
        </w:rPr>
      </w:pPr>
      <w:r>
        <w:rPr>
          <w:rStyle w:val="16"/>
          <w:rFonts w:hint="eastAsia" w:cs="仿宋_GB2312"/>
          <w:b w:val="0"/>
          <w:bCs w:val="0"/>
          <w:color w:val="auto"/>
          <w:sz w:val="32"/>
          <w:szCs w:val="32"/>
          <w:highlight w:val="none"/>
          <w:lang w:val="en-US" w:eastAsia="zh-CN"/>
        </w:rPr>
        <w:t>8.</w:t>
      </w:r>
      <w:r>
        <w:rPr>
          <w:rStyle w:val="16"/>
          <w:rFonts w:hint="eastAsia" w:ascii="仿宋_GB2312" w:eastAsia="仿宋_GB2312" w:cs="仿宋_GB2312"/>
          <w:b w:val="0"/>
          <w:bCs w:val="0"/>
          <w:color w:val="auto"/>
          <w:sz w:val="32"/>
          <w:szCs w:val="32"/>
          <w:highlight w:val="none"/>
        </w:rPr>
        <w:t>社会保障和就业（类）其他社会保障和就业支出（款）其他社会保障和就业支出（项）</w:t>
      </w:r>
      <w:r>
        <w:rPr>
          <w:rStyle w:val="16"/>
          <w:rFonts w:hint="eastAsia" w:cs="仿宋_GB2312"/>
          <w:b w:val="0"/>
          <w:bCs w:val="0"/>
          <w:color w:val="auto"/>
          <w:sz w:val="32"/>
          <w:szCs w:val="32"/>
          <w:highlight w:val="none"/>
          <w:lang w:eastAsia="zh-CN"/>
        </w:rPr>
        <w:t>：指其他用于社会保障和就业方面的支出。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lang w:val="en-US" w:eastAsia="zh-CN"/>
        </w:rPr>
        <w:t>9</w:t>
      </w:r>
      <w:r>
        <w:rPr>
          <w:rFonts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rPr>
        <w:t>医疗卫生与计划生育（类）</w:t>
      </w:r>
      <w:r>
        <w:rPr>
          <w:rFonts w:hint="eastAsia" w:ascii="仿宋_GB2312" w:eastAsia="仿宋_GB2312"/>
          <w:b w:val="0"/>
          <w:bCs w:val="0"/>
          <w:color w:val="000000"/>
          <w:sz w:val="32"/>
          <w:szCs w:val="32"/>
          <w:highlight w:val="none"/>
          <w:lang w:eastAsia="zh-CN"/>
        </w:rPr>
        <w:t>行政事业单位医疗</w:t>
      </w:r>
      <w:r>
        <w:rPr>
          <w:rFonts w:hint="eastAsia" w:ascii="仿宋_GB2312" w:eastAsia="仿宋_GB2312"/>
          <w:b w:val="0"/>
          <w:bCs w:val="0"/>
          <w:color w:val="000000"/>
          <w:sz w:val="32"/>
          <w:szCs w:val="32"/>
          <w:highlight w:val="none"/>
        </w:rPr>
        <w:t>（款）事业单位医疗（项）：指</w:t>
      </w:r>
      <w:r>
        <w:rPr>
          <w:rFonts w:hint="eastAsia" w:ascii="仿宋_GB2312" w:eastAsia="仿宋_GB2312"/>
          <w:b w:val="0"/>
          <w:bCs w:val="0"/>
          <w:color w:val="000000"/>
          <w:sz w:val="32"/>
          <w:szCs w:val="32"/>
          <w:highlight w:val="none"/>
          <w:lang w:eastAsia="zh-CN"/>
        </w:rPr>
        <w:t>事业单位基本医疗保险缴费经费</w:t>
      </w:r>
      <w:r>
        <w:rPr>
          <w:rFonts w:hint="eastAsia" w:ascii="仿宋_GB2312" w:eastAsia="仿宋_GB2312"/>
          <w:b w:val="0"/>
          <w:bCs w:val="0"/>
          <w:color w:val="000000"/>
          <w:sz w:val="32"/>
          <w:szCs w:val="32"/>
          <w:highlight w:val="none"/>
        </w:rPr>
        <w:t>。</w:t>
      </w:r>
    </w:p>
    <w:p>
      <w:pPr>
        <w:pStyle w:val="27"/>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lang w:val="en-US" w:eastAsia="zh-CN"/>
        </w:rPr>
        <w:t>10</w:t>
      </w:r>
      <w:r>
        <w:rPr>
          <w:rFonts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rPr>
        <w:t>住房保障（类）</w:t>
      </w:r>
      <w:r>
        <w:rPr>
          <w:rFonts w:hint="eastAsia" w:ascii="仿宋_GB2312" w:eastAsia="仿宋_GB2312"/>
          <w:b w:val="0"/>
          <w:bCs w:val="0"/>
          <w:color w:val="000000"/>
          <w:sz w:val="32"/>
          <w:szCs w:val="32"/>
          <w:highlight w:val="none"/>
          <w:lang w:eastAsia="zh-CN"/>
        </w:rPr>
        <w:t>住房改革支出</w:t>
      </w:r>
      <w:r>
        <w:rPr>
          <w:rFonts w:hint="eastAsia" w:ascii="仿宋_GB2312" w:eastAsia="仿宋_GB2312"/>
          <w:b w:val="0"/>
          <w:bCs w:val="0"/>
          <w:color w:val="000000"/>
          <w:sz w:val="32"/>
          <w:szCs w:val="32"/>
          <w:highlight w:val="none"/>
        </w:rPr>
        <w:t>（款）</w:t>
      </w:r>
      <w:r>
        <w:rPr>
          <w:rFonts w:hint="eastAsia" w:ascii="仿宋_GB2312" w:eastAsia="仿宋_GB2312"/>
          <w:b w:val="0"/>
          <w:bCs w:val="0"/>
          <w:color w:val="000000"/>
          <w:sz w:val="32"/>
          <w:szCs w:val="32"/>
          <w:highlight w:val="none"/>
          <w:lang w:eastAsia="zh-CN"/>
        </w:rPr>
        <w:t>住房公积金</w:t>
      </w:r>
      <w:r>
        <w:rPr>
          <w:rFonts w:hint="eastAsia" w:ascii="仿宋_GB2312" w:eastAsia="仿宋_GB2312"/>
          <w:b w:val="0"/>
          <w:bCs w:val="0"/>
          <w:color w:val="000000"/>
          <w:sz w:val="32"/>
          <w:szCs w:val="32"/>
          <w:highlight w:val="none"/>
        </w:rPr>
        <w:t>（项）：指</w:t>
      </w:r>
      <w:r>
        <w:rPr>
          <w:rFonts w:hint="eastAsia" w:ascii="仿宋_GB2312" w:eastAsia="仿宋_GB2312"/>
          <w:b w:val="0"/>
          <w:bCs w:val="0"/>
          <w:color w:val="000000"/>
          <w:sz w:val="32"/>
          <w:szCs w:val="32"/>
          <w:highlight w:val="none"/>
          <w:lang w:eastAsia="zh-CN"/>
        </w:rPr>
        <w:t>行政事业单位按人力资源和社会保障部、财政部规定的基本工资和津贴补贴以及规定比例为职工缴纳的住房公积金</w:t>
      </w:r>
      <w:r>
        <w:rPr>
          <w:rFonts w:hint="eastAsia" w:ascii="仿宋_GB2312" w:eastAsia="仿宋_GB2312"/>
          <w:b w:val="0"/>
          <w:bCs w:val="0"/>
          <w:color w:val="000000"/>
          <w:sz w:val="32"/>
          <w:szCs w:val="32"/>
          <w:highlight w:val="none"/>
        </w:rPr>
        <w:t>。</w:t>
      </w:r>
    </w:p>
    <w:p>
      <w:pPr>
        <w:pStyle w:val="27"/>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11.</w:t>
      </w:r>
      <w:r>
        <w:rPr>
          <w:rFonts w:hint="eastAsia" w:ascii="仿宋_GB2312" w:eastAsia="仿宋_GB2312"/>
          <w:b w:val="0"/>
          <w:bCs w:val="0"/>
          <w:color w:val="auto"/>
          <w:sz w:val="32"/>
          <w:szCs w:val="32"/>
          <w:highlight w:val="none"/>
        </w:rPr>
        <w:t>其他支出（类）彩票公益金安排的支出（款）用于体育事业的彩票公益金支出（项）</w:t>
      </w:r>
      <w:r>
        <w:rPr>
          <w:rFonts w:hint="eastAsia" w:ascii="仿宋_GB2312" w:eastAsia="仿宋_GB2312"/>
          <w:b w:val="0"/>
          <w:bCs w:val="0"/>
          <w:color w:val="auto"/>
          <w:sz w:val="32"/>
          <w:szCs w:val="32"/>
          <w:highlight w:val="none"/>
          <w:lang w:eastAsia="zh-CN"/>
        </w:rPr>
        <w:t>：指体育事业的彩票公益金支出。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eastAsia="仿宋_GB2312"/>
          <w:color w:val="auto"/>
          <w:sz w:val="32"/>
          <w:szCs w:val="32"/>
          <w:highlight w:val="none"/>
          <w:lang w:eastAsia="zh-CN"/>
        </w:rPr>
        <w:sectPr>
          <w:footerReference r:id="rId8" w:type="first"/>
          <w:footerReference r:id="rId7" w:type="default"/>
          <w:pgSz w:w="11906" w:h="16838"/>
          <w:pgMar w:top="1440" w:right="1349" w:bottom="1440" w:left="1463" w:header="851" w:footer="992" w:gutter="0"/>
          <w:pgNumType w:fmt="decimal" w:start="1"/>
          <w:cols w:space="0" w:num="1"/>
          <w:titlePg/>
          <w:rtlGutter w:val="0"/>
          <w:docGrid w:type="lines" w:linePitch="312" w:charSpace="0"/>
        </w:sect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eastAsia="仿宋_GB2312"/>
          <w:color w:val="auto"/>
          <w:sz w:val="32"/>
          <w:szCs w:val="32"/>
          <w:highlight w:val="none"/>
          <w:lang w:eastAsia="zh-CN"/>
        </w:rPr>
        <w:t>。</w:t>
      </w:r>
    </w:p>
    <w:p>
      <w:pPr>
        <w:spacing w:line="600" w:lineRule="exact"/>
        <w:jc w:val="center"/>
        <w:outlineLvl w:val="0"/>
      </w:pPr>
      <w:bookmarkStart w:id="74" w:name="_Toc15396614"/>
      <w:bookmarkStart w:id="75" w:name="_Toc3754"/>
      <w:bookmarkStart w:id="76" w:name="_Toc15377226"/>
      <w:r>
        <w:rPr>
          <w:rFonts w:hint="eastAsia" w:ascii="黑体" w:hAnsi="黑体" w:eastAsia="黑体"/>
          <w:color w:val="auto"/>
          <w:sz w:val="44"/>
          <w:szCs w:val="44"/>
          <w:highlight w:val="none"/>
        </w:rPr>
        <w:t>第</w:t>
      </w:r>
      <w:r>
        <w:rPr>
          <w:rStyle w:val="18"/>
          <w:rFonts w:hint="eastAsia" w:ascii="黑体" w:hAnsi="黑体" w:eastAsia="黑体"/>
          <w:b w:val="0"/>
          <w:color w:val="auto"/>
          <w:highlight w:val="none"/>
        </w:rPr>
        <w:t>四部分 附件</w:t>
      </w:r>
    </w:p>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4"/>
        <w:gridCol w:w="1879"/>
        <w:gridCol w:w="1743"/>
        <w:gridCol w:w="2226"/>
        <w:gridCol w:w="971"/>
        <w:gridCol w:w="831"/>
        <w:gridCol w:w="1050"/>
        <w:gridCol w:w="1269"/>
        <w:gridCol w:w="600"/>
        <w:gridCol w:w="669"/>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3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2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6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严格执行相关政策，保障工资及时发放、足额发放，预算编制科学合理，减少结余资金。</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严格执行相关政策，保障工资及时、足额发放，年末无结余结转资金。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按时申报职工工资，保证职工工资及时、足额发放。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142.05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142.05</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142.05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142.05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142.05</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142.05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足额保障率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科目调整次数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按时发放率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结余率（计算方法为：结余数/预算数）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0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2022年工资性支出项目绩效目标完成情况较好，自评得分100分。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bl>
    <w:p>
      <w:pPr>
        <w:sectPr>
          <w:pgSz w:w="16838" w:h="11906" w:orient="landscape"/>
          <w:pgMar w:top="1463" w:right="1440" w:bottom="1349" w:left="1440" w:header="851" w:footer="992" w:gutter="0"/>
          <w:pgNumType w:fmt="decimal"/>
          <w:cols w:space="0" w:num="1"/>
          <w:titlePg/>
          <w:rtlGutter w:val="0"/>
          <w:docGrid w:type="lines" w:linePitch="312" w:charSpace="0"/>
        </w:sectPr>
      </w:pPr>
    </w:p>
    <w:bookmarkEnd w:id="74"/>
    <w:bookmarkEnd w:id="75"/>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938"/>
        <w:gridCol w:w="1742"/>
        <w:gridCol w:w="2224"/>
        <w:gridCol w:w="696"/>
        <w:gridCol w:w="1269"/>
        <w:gridCol w:w="728"/>
        <w:gridCol w:w="1089"/>
        <w:gridCol w:w="576"/>
        <w:gridCol w:w="576"/>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3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77" w:name="_Toc15396618"/>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08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3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6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严格执行相关政策，保障工资及时发放、足额发放，预算编制科学合理，减少结余资金。</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严格执行相关政策，按财政要求，及时、足额发放单位退休职工绩效补助，年末无结余结转资金。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严格执行相关政策，按财政要求，及时、足额发放单位退休职工绩效补助。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11.20</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11.20</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11.20</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11.20</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科目调整次数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足额保障率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按时发放率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结余率（计算方法为：结余数/预算数）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9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8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2022年离退休费支出项目绩效目标完成情况较好，自评得分100分。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8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8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bl>
    <w:p>
      <w:pPr>
        <w:rPr>
          <w:rFonts w:hint="eastAsia"/>
          <w:lang w:val="en-US" w:eastAsia="zh-CN"/>
        </w:rPr>
        <w:sectPr>
          <w:pgSz w:w="16838" w:h="11906" w:orient="landscape"/>
          <w:pgMar w:top="1463" w:right="1440" w:bottom="1349" w:left="1440" w:header="851" w:footer="992" w:gutter="0"/>
          <w:pgNumType w:fmt="decimal"/>
          <w:cols w:space="0" w:num="1"/>
          <w:titlePg/>
          <w:rtlGutter w:val="0"/>
          <w:docGrid w:type="lines" w:linePitch="312" w:charSpace="0"/>
        </w:sectPr>
      </w:pPr>
    </w:p>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831"/>
        <w:gridCol w:w="1740"/>
        <w:gridCol w:w="2236"/>
        <w:gridCol w:w="1012"/>
        <w:gridCol w:w="981"/>
        <w:gridCol w:w="969"/>
        <w:gridCol w:w="935"/>
        <w:gridCol w:w="127"/>
        <w:gridCol w:w="507"/>
        <w:gridCol w:w="658"/>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8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062"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6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保障单位日常运转，提高预算编制质量，严格执行预算。</w:t>
            </w:r>
          </w:p>
        </w:tc>
        <w:tc>
          <w:tcPr>
            <w:tcW w:w="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保障了单位日常运转，提高预算编制质量，严格执行预算，年末无结余结转资金。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该项目主要用于福利费、工会经费、党建经费等开支，保障单位正常运转。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11.64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11.64</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11.64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11.64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11.64</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11.64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科目调整次数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0次</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预算编制准确率（计算方法为：</w:t>
            </w:r>
            <w:r>
              <w:rPr>
                <w:rFonts w:ascii="宋体" w:hAnsi="宋体" w:eastAsia="宋体" w:cs="宋体"/>
                <w:i w:val="0"/>
                <w:color w:val="000000"/>
                <w:kern w:val="0"/>
                <w:sz w:val="18"/>
                <w:szCs w:val="18"/>
                <w:u w:val="none"/>
                <w:lang w:val="en-US" w:eastAsia="zh-CN" w:bidi="ar"/>
              </w:rPr>
              <w:t>∣</w:t>
            </w:r>
            <w:r>
              <w:rPr>
                <w:rStyle w:val="37"/>
                <w:rFonts w:hAnsi="宋体"/>
                <w:lang w:val="en-US" w:eastAsia="zh-CN" w:bidi="ar"/>
              </w:rPr>
              <w:t>（执行数-预算数）/预算数</w:t>
            </w:r>
            <w:r>
              <w:rPr>
                <w:rFonts w:ascii="宋体" w:hAnsi="宋体" w:eastAsia="宋体" w:cs="宋体"/>
                <w:i w:val="0"/>
                <w:color w:val="000000"/>
                <w:kern w:val="0"/>
                <w:sz w:val="18"/>
                <w:szCs w:val="18"/>
                <w:u w:val="none"/>
                <w:lang w:val="en-US" w:eastAsia="zh-CN" w:bidi="ar"/>
              </w:rPr>
              <w:t>∣</w:t>
            </w:r>
            <w:r>
              <w:rPr>
                <w:rStyle w:val="37"/>
                <w:rFonts w:hAnsi="宋体"/>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运转保障率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“三公经费”控制率[计算方法为：（三公经费实际支出数/预算安排数]×100%）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其他公用经费项目绩效目标完成情况较好，自评得分100分。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无。</w:t>
            </w:r>
          </w:p>
        </w:tc>
      </w:tr>
    </w:tbl>
    <w:p>
      <w:pPr>
        <w:rPr>
          <w:rFonts w:hint="eastAsia"/>
          <w:lang w:eastAsia="zh-CN"/>
        </w:rPr>
        <w:sectPr>
          <w:pgSz w:w="16838" w:h="11906" w:orient="landscape"/>
          <w:pgMar w:top="1463" w:right="1440" w:bottom="1349" w:left="1440" w:header="851" w:footer="992" w:gutter="0"/>
          <w:pgNumType w:fmt="decimal"/>
          <w:cols w:space="0" w:num="1"/>
          <w:titlePg/>
          <w:rtlGutter w:val="0"/>
          <w:docGrid w:type="lines" w:linePitch="312" w:charSpace="0"/>
        </w:sectPr>
      </w:pPr>
    </w:p>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1811"/>
        <w:gridCol w:w="1744"/>
        <w:gridCol w:w="2226"/>
        <w:gridCol w:w="1015"/>
        <w:gridCol w:w="946"/>
        <w:gridCol w:w="1050"/>
        <w:gridCol w:w="768"/>
        <w:gridCol w:w="576"/>
        <w:gridCol w:w="576"/>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3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76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3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3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6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严格执行相关政策，保障工资及时发放、足额发放，预算编制科学合理，减少结余资金</w:t>
            </w:r>
          </w:p>
        </w:tc>
        <w:tc>
          <w:tcPr>
            <w:tcW w:w="3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严格执行相关政策，保障工资及时、足额发放，年末无结余结转资金。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按时申报职工工资，保证职工工资及时、足额发放。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205.51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310.68</w:t>
            </w: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309.67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99.68%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205.51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310.68</w:t>
            </w: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309.67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99.68%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科目调整次数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足额保障率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按时发放率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结余率（计算方法为：结余数/预算数）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6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6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2022年工资性支出绩效目标完成较好，自评得分100分。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6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6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bl>
    <w:p>
      <w:pPr>
        <w:rPr>
          <w:rFonts w:hint="eastAsia"/>
          <w:lang w:val="en-US" w:eastAsia="zh-CN"/>
        </w:rPr>
        <w:sectPr>
          <w:pgSz w:w="16838" w:h="11906" w:orient="landscape"/>
          <w:pgMar w:top="1463" w:right="1440" w:bottom="1236" w:left="1440" w:header="851" w:footer="992" w:gutter="0"/>
          <w:pgNumType w:fmt="decimal"/>
          <w:cols w:space="0" w:num="1"/>
          <w:titlePg/>
          <w:rtlGutter w:val="0"/>
          <w:docGrid w:type="lines" w:linePitch="312" w:charSpace="0"/>
        </w:sectPr>
      </w:pPr>
    </w:p>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9"/>
        <w:gridCol w:w="1916"/>
        <w:gridCol w:w="1740"/>
        <w:gridCol w:w="2223"/>
        <w:gridCol w:w="998"/>
        <w:gridCol w:w="808"/>
        <w:gridCol w:w="992"/>
        <w:gridCol w:w="1154"/>
        <w:gridCol w:w="611"/>
        <w:gridCol w:w="773"/>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51080022R000006838642-退休“中人”一次性补助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15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4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严格执行相关政策，发放退休“中人”一次性补助。</w:t>
            </w:r>
          </w:p>
        </w:tc>
        <w:tc>
          <w:tcPr>
            <w:tcW w:w="4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严格执行相关政策，及时支付单位退休“中人”一次性补助，年末无结余结转资金。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该项目主要内容是发放退休“中人”一次性补助。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3.01</w:t>
            </w: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3.01</w:t>
            </w: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发放人数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人</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按时发放率</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运转保障率</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补助对象满意度</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退休“中人”一次性补助绩效目标完成情况较好，自评得分100分。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bl>
    <w:p>
      <w:pPr>
        <w:rPr>
          <w:rFonts w:hint="eastAsia"/>
          <w:lang w:eastAsia="zh-CN"/>
        </w:rPr>
        <w:sectPr>
          <w:pgSz w:w="16838" w:h="11906" w:orient="landscape"/>
          <w:pgMar w:top="1463" w:right="1440" w:bottom="1406" w:left="1440" w:header="851" w:footer="992" w:gutter="0"/>
          <w:pgNumType w:fmt="decimal"/>
          <w:cols w:space="0" w:num="1"/>
          <w:titlePg/>
          <w:rtlGutter w:val="0"/>
          <w:docGrid w:type="lines" w:linePitch="312" w:charSpace="0"/>
        </w:sectPr>
      </w:pPr>
    </w:p>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754"/>
        <w:gridCol w:w="1869"/>
        <w:gridCol w:w="2400"/>
        <w:gridCol w:w="1016"/>
        <w:gridCol w:w="807"/>
        <w:gridCol w:w="992"/>
        <w:gridCol w:w="1258"/>
        <w:gridCol w:w="658"/>
        <w:gridCol w:w="646"/>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9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51080022T000004918525-体校学生、教练员生活补助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25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7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3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7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提高我市运动员竞技训练水平，确保备战省十四运会目标任务的完成。</w:t>
            </w:r>
          </w:p>
        </w:tc>
        <w:tc>
          <w:tcPr>
            <w:tcW w:w="3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用于发放运动员助学金生活补助，提高我市运动员竞技训练水平，确保备战省十四运会目标任务的完成。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9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该项目主要用于发放运动员助学金生活补助等。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90.00</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90.00</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发放各运动员助学金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个</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按标准发放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完成时间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运动员生活补助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万元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体育带动作用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社会影响力</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竞技体育水平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持续为国家、四川省运动队培养输送高水平后备人才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补助对象满意度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2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2022年度体校学生、教练员生活补助项目使用支出绩效目标完成良好，自评得分100分。通过项目的实施提高运动员竞技训练水平，确保十四运会目标任务完成。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bl>
    <w:p>
      <w:pPr>
        <w:pStyle w:val="6"/>
        <w:rPr>
          <w:rFonts w:hint="eastAsia" w:ascii="仿宋_GB2312" w:hAnsi="Calibri" w:eastAsia="仿宋_GB2312" w:cs="仿宋"/>
          <w:color w:val="auto"/>
          <w:kern w:val="0"/>
          <w:sz w:val="32"/>
          <w:szCs w:val="32"/>
          <w:highlight w:val="none"/>
          <w:lang w:val="en-US" w:eastAsia="zh-CN" w:bidi="ar-SA"/>
        </w:rPr>
        <w:sectPr>
          <w:pgSz w:w="16838" w:h="11906" w:orient="landscape"/>
          <w:pgMar w:top="1463" w:right="1440" w:bottom="1349" w:left="1440" w:header="851" w:footer="992" w:gutter="0"/>
          <w:pgNumType w:fmt="decimal"/>
          <w:cols w:space="0" w:num="1"/>
          <w:titlePg/>
          <w:rtlGutter w:val="0"/>
          <w:docGrid w:type="lines" w:linePitch="312" w:charSpace="0"/>
        </w:sectPr>
      </w:pPr>
    </w:p>
    <w:tbl>
      <w:tblPr>
        <w:tblStyle w:val="14"/>
        <w:tblW w:w="138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130"/>
        <w:gridCol w:w="1767"/>
        <w:gridCol w:w="1928"/>
        <w:gridCol w:w="55"/>
        <w:gridCol w:w="2184"/>
        <w:gridCol w:w="26"/>
        <w:gridCol w:w="972"/>
        <w:gridCol w:w="53"/>
        <w:gridCol w:w="804"/>
        <w:gridCol w:w="107"/>
        <w:gridCol w:w="900"/>
        <w:gridCol w:w="86"/>
        <w:gridCol w:w="1125"/>
        <w:gridCol w:w="685"/>
        <w:gridCol w:w="11"/>
        <w:gridCol w:w="600"/>
        <w:gridCol w:w="139"/>
        <w:gridCol w:w="1306"/>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44" w:hRule="atLeast"/>
        </w:trPr>
        <w:tc>
          <w:tcPr>
            <w:tcW w:w="1381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9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51080022T000004918539-体校业余训练经费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0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211"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70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39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70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积极选材组队训练，开展体育人才培养。用于县区选材、购置部分训练器材等开支。</w:t>
            </w:r>
          </w:p>
        </w:tc>
        <w:tc>
          <w:tcPr>
            <w:tcW w:w="39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积极选材组队训练，开展体育人才培养。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9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主要用于购置部分训练器材、耗材、训练场馆维修维护、县区选材开支。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8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22.69</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22.69</w:t>
            </w:r>
          </w:p>
        </w:tc>
        <w:tc>
          <w:tcPr>
            <w:tcW w:w="28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21.56</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95.01%</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22.69</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22.69</w:t>
            </w:r>
          </w:p>
        </w:tc>
        <w:tc>
          <w:tcPr>
            <w:tcW w:w="28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21.56</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95.01%</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8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完成选材组队</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人/次</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180人</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完成省锦标赛规定的参赛任务</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完成时间</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训练经费开支</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22.69</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万元</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21.56万元</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竞技体育水平</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长期开展体育人才培养</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群众满意度</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10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4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2022年度业余训练经费项目使用支出绩效目标完成良好，自评得分99分。通过项目的实施对发展青少年竞技体育运动，提高竞技体育运动水平具有重要意义。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4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4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382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99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51080022T000004919031-乡村振兴工作经费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1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1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71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3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71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巩固提升剑阁县张王镇苍山村脱贫攻坚成果。</w:t>
            </w:r>
          </w:p>
        </w:tc>
        <w:tc>
          <w:tcPr>
            <w:tcW w:w="3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巩固提升剑阁县张王镇苍山村脱贫攻坚成果。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99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该项目经费主要用于驻村队员购置生活用品、差旅费、租车费等。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1.82</w:t>
            </w:r>
          </w:p>
        </w:tc>
        <w:tc>
          <w:tcPr>
            <w:tcW w:w="2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1.82</w:t>
            </w:r>
          </w:p>
        </w:tc>
        <w:tc>
          <w:tcPr>
            <w:tcW w:w="2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4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4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4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4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开展联系户乡村振兴工作</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13</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13户</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高质量完成</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完成时间</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工作经费</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1.82</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1.82万元</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提升社会影响力</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项目完成后</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帮扶对象满意度指标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村民满意度</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95%</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0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88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2022年度乡村振兴工作经费项目使用支出绩效目标完成良好，自评得分100分。通过对联系户开展乡村振兴工作，助推农户产业发展，持续巩固脱贫成果。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88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88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bl>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15"/>
          <w:szCs w:val="15"/>
          <w:u w:val="none"/>
          <w:lang w:val="en-US" w:eastAsia="zh-CN" w:bidi="ar"/>
        </w:rPr>
      </w:pPr>
    </w:p>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1736"/>
        <w:gridCol w:w="1864"/>
        <w:gridCol w:w="2345"/>
        <w:gridCol w:w="976"/>
        <w:gridCol w:w="1061"/>
        <w:gridCol w:w="1029"/>
        <w:gridCol w:w="1178"/>
        <w:gridCol w:w="643"/>
        <w:gridCol w:w="654"/>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10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51080022T000005254612-备战省十四运会专项训练经费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17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3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备战省十四运会，力争取得优异成绩。</w:t>
            </w:r>
          </w:p>
        </w:tc>
        <w:tc>
          <w:tcPr>
            <w:tcW w:w="3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2022年省十四运会，取得了15枚金牌16枚银牌10枚铜牌、61个前八名的优异成绩。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10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该项目主要用于省十四运会参赛运动员比赛服、补充部分比赛训练器材、运动员外训费、运动员生活补助、运动员保险、运动员体检费、伤病治疗费、教练员训练生活补助等。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120.00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120.00</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118.90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120.00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120.00</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118.90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完成选材组队参赛</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260余人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获得金牌数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15枚金牌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完成参赛任务</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完成时间</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参赛服装、训练器材等采购</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万元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48.9万元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社会影响力</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定性</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高中低</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长期开展体育人才培养</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定性</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高中低</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群众满意度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定性</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高中低</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18"/>
                <w:szCs w:val="18"/>
                <w:u w:val="none"/>
                <w:lang w:val="en-US"/>
              </w:rPr>
            </w:pPr>
            <w:r>
              <w:rPr>
                <w:rFonts w:hint="eastAsia" w:ascii="仿宋_GB2312" w:hAnsi="宋体" w:eastAsia="仿宋_GB2312" w:cs="仿宋_GB2312"/>
                <w:i w:val="0"/>
                <w:color w:val="000000"/>
                <w:kern w:val="0"/>
                <w:sz w:val="18"/>
                <w:szCs w:val="18"/>
                <w:u w:val="none"/>
                <w:lang w:val="en-US" w:eastAsia="zh-CN" w:bidi="ar"/>
              </w:rPr>
              <w:t>99.9</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18"/>
                <w:szCs w:val="18"/>
                <w:u w:val="none"/>
                <w:lang w:val="en-US" w:eastAsia="zh-CN" w:bidi="ar"/>
              </w:rPr>
              <w:t>2022年度备战省十四运会专项训练经费项目使用支出绩效目标完成良好，自评得分99.9分。该项目充分保证我校运动员正常训练的同时积极备战省十四运会，共获得了15枚金牌16枚银牌10枚铜牌、61个前八名的较好成绩，举重代表队共获得4金2银1铜，女子沙滩排球包揽该项目2枚全部金牌，表现突出；同时，田径、游泳两个基础大项共获得4金3银1铜，是我市这两个项目首次在省运会上获得金牌取得了优异成绩，提升整体体育竞技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r>
    </w:tbl>
    <w:p>
      <w:pPr>
        <w:pStyle w:val="2"/>
        <w:rPr>
          <w:rFonts w:hint="eastAsia" w:ascii="方正小标宋简体" w:hAnsi="方正小标宋简体" w:eastAsia="方正小标宋简体" w:cs="方正小标宋简体"/>
          <w:i w:val="0"/>
          <w:color w:val="000000"/>
          <w:kern w:val="0"/>
          <w:sz w:val="15"/>
          <w:szCs w:val="15"/>
          <w:u w:val="none"/>
          <w:lang w:val="en-US" w:eastAsia="zh-CN" w:bidi="ar"/>
        </w:rPr>
      </w:pPr>
    </w:p>
    <w:tbl>
      <w:tblPr>
        <w:tblStyle w:val="14"/>
        <w:tblW w:w="138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119"/>
        <w:gridCol w:w="1902"/>
        <w:gridCol w:w="34"/>
        <w:gridCol w:w="1770"/>
        <w:gridCol w:w="33"/>
        <w:gridCol w:w="2151"/>
        <w:gridCol w:w="81"/>
        <w:gridCol w:w="736"/>
        <w:gridCol w:w="161"/>
        <w:gridCol w:w="803"/>
        <w:gridCol w:w="193"/>
        <w:gridCol w:w="482"/>
        <w:gridCol w:w="622"/>
        <w:gridCol w:w="471"/>
        <w:gridCol w:w="632"/>
        <w:gridCol w:w="75"/>
        <w:gridCol w:w="610"/>
        <w:gridCol w:w="151"/>
        <w:gridCol w:w="579"/>
        <w:gridCol w:w="1273"/>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539" w:hRule="atLeast"/>
        </w:trPr>
        <w:tc>
          <w:tcPr>
            <w:tcW w:w="1381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5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51080022T000005254619-青少年足球训练中心经费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06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178"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2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706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37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706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根据《共建青少年训练中心协议书》，四川体育职业学校投入经费20万元，市级配套资金20万元。该项目保障了我市青少年足球训练中心正常训练，为我市足球运动发展起了重大作用，有效推动了我市青少年足球运动的广泛开展、提高我市青少年足球运动水平。</w:t>
            </w:r>
          </w:p>
        </w:tc>
        <w:tc>
          <w:tcPr>
            <w:tcW w:w="37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有效推动了我市青少年足球运动的广泛开展、提高我市青少年足球运动水平。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5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该项目主要用于青少年足球训练中心建设、足球训练、参加足球赛事活动、参加足球教练裁判员培训、举办足球赛事活动开支等。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3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2"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20.00</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20.00</w:t>
            </w:r>
          </w:p>
        </w:tc>
        <w:tc>
          <w:tcPr>
            <w:tcW w:w="3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12.39</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61.95%</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6.2</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color w:val="000000"/>
                <w:sz w:val="18"/>
                <w:szCs w:val="18"/>
                <w:u w:val="none"/>
              </w:rPr>
            </w:pPr>
            <w:r>
              <w:rPr>
                <w:rFonts w:hint="eastAsia" w:ascii="仿宋_GB2312" w:hAnsi="宋体" w:eastAsia="仿宋_GB2312" w:cs="仿宋_GB2312"/>
                <w:i w:val="0"/>
                <w:iCs/>
                <w:color w:val="000000"/>
                <w:kern w:val="0"/>
                <w:sz w:val="18"/>
                <w:szCs w:val="18"/>
                <w:u w:val="none"/>
                <w:lang w:val="en-US" w:eastAsia="zh-CN" w:bidi="ar"/>
              </w:rPr>
              <w:t>2022年受疫情封控影响，大型足球培训活动和足球赛事暂停举办。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20.00</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20.00</w:t>
            </w:r>
          </w:p>
        </w:tc>
        <w:tc>
          <w:tcPr>
            <w:tcW w:w="3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12.39</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61.95%</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3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3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3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110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17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76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5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2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8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参加足球赛事活动</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2次</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举办市级足球赛事活动</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举办市级足球教练、裁判员培训</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2次</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参加省级足球教练、裁判员培训</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1次</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完成时间</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2022年</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社会效益指标</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社会影响力</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定性</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高中低</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项目完成后</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定性</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高中低</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服务对象满意度指标</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参与训练运动员满意度</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120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76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89.2</w:t>
            </w:r>
          </w:p>
        </w:tc>
        <w:tc>
          <w:tcPr>
            <w:tcW w:w="12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5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年度青少年足球训练中心经费项目使用支出绩效目标完成良好，自评得分89.2分。该项目保障了我市青少年足球训练中心正常训练，为我市足球运动发展起了重大作用，有效推动了我市青少年足球运动的广泛开展、提高我市青少年足球运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5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5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382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3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51080022T000007380269-省级体育发展专项资金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093"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33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20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44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6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保障53名家庭经济困难学生运动员正常参加业余训练任务；用于高水平后备人才基地训练开支，提升训练水平。</w:t>
            </w:r>
          </w:p>
        </w:tc>
        <w:tc>
          <w:tcPr>
            <w:tcW w:w="44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发放53名家庭经济困难学生运动员助学金，保障正常参加业余训练任务；改善高水平后备人才基地训练条件，提升训练水平。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3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该项目主要用于：一是发放53名家庭经济困难学生运动员助学金；二是改善训练条件。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39.08</w:t>
            </w:r>
          </w:p>
        </w:tc>
        <w:tc>
          <w:tcPr>
            <w:tcW w:w="2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37.70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96.47%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w:t>
            </w:r>
          </w:p>
        </w:tc>
        <w:tc>
          <w:tcPr>
            <w:tcW w:w="20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bidi="ar"/>
              </w:rPr>
              <w:t>追加2022年项目省级体育发展专项资金39.08万元，其中20万元用于高水后备人才基地训练经费、19.08万元用于保障53名家庭经济困难学生运动员正常参加业余训练任务。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39.08</w:t>
            </w:r>
          </w:p>
        </w:tc>
        <w:tc>
          <w:tcPr>
            <w:tcW w:w="2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37.70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96.47%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20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20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20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2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6"/>
                <w:szCs w:val="16"/>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20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205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7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96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6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09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01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数量指标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保障家庭经济困难学生运动员数量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53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名</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53名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30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30</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时效指标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发放时间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2022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年</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2022年</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25</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25</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可持续影响指标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竞技体育水平持续提升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25</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25</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服务对象满意度指标</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补助学生运动员满意度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95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95%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5"/>
                <w:szCs w:val="15"/>
                <w:u w:val="none"/>
              </w:rPr>
            </w:pPr>
            <w:r>
              <w:rPr>
                <w:rFonts w:hint="eastAsia" w:ascii="仿宋_GB2312" w:hAnsi="宋体" w:eastAsia="仿宋_GB2312" w:cs="仿宋_GB2312"/>
                <w:i w:val="0"/>
                <w:color w:val="000000"/>
                <w:kern w:val="0"/>
                <w:sz w:val="15"/>
                <w:szCs w:val="15"/>
                <w:u w:val="none"/>
                <w:lang w:val="en-US" w:eastAsia="zh-CN" w:bidi="ar"/>
              </w:rPr>
              <w:t>10</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49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99.6</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88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2022年度省级体育发展专项资金项目使用支出绩效目标完成良好，自评得分99.6分。通过对贫困家庭学生运动员发放助学金保障其正常参加训练；改善高水平后备人才基地训条件，提升整体训练水平。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88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预算编制的准确性、细化程度不够高。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88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进一步提高项目绩效编制科学性、规范性、准确性。 </w:t>
            </w:r>
          </w:p>
        </w:tc>
      </w:tr>
    </w:tbl>
    <w:p>
      <w:pPr>
        <w:pStyle w:val="2"/>
        <w:rPr>
          <w:rFonts w:hint="eastAsia" w:ascii="方正小标宋简体" w:hAnsi="方正小标宋简体" w:eastAsia="方正小标宋简体" w:cs="方正小标宋简体"/>
          <w:i w:val="0"/>
          <w:color w:val="000000"/>
          <w:kern w:val="0"/>
          <w:sz w:val="15"/>
          <w:szCs w:val="15"/>
          <w:u w:val="none"/>
          <w:lang w:val="en-US" w:eastAsia="zh-CN" w:bidi="ar"/>
        </w:rPr>
      </w:pPr>
    </w:p>
    <w:p>
      <w:pPr>
        <w:rPr>
          <w:rFonts w:hint="eastAsia" w:ascii="方正小标宋简体" w:hAnsi="方正小标宋简体" w:eastAsia="方正小标宋简体" w:cs="方正小标宋简体"/>
          <w:i w:val="0"/>
          <w:color w:val="000000"/>
          <w:kern w:val="0"/>
          <w:sz w:val="15"/>
          <w:szCs w:val="15"/>
          <w:u w:val="none"/>
          <w:lang w:val="en-US" w:eastAsia="zh-CN" w:bidi="ar"/>
        </w:rPr>
      </w:pPr>
    </w:p>
    <w:tbl>
      <w:tblPr>
        <w:tblStyle w:val="14"/>
        <w:tblW w:w="138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8"/>
        <w:gridCol w:w="30"/>
        <w:gridCol w:w="1787"/>
        <w:gridCol w:w="50"/>
        <w:gridCol w:w="1650"/>
        <w:gridCol w:w="81"/>
        <w:gridCol w:w="2117"/>
        <w:gridCol w:w="106"/>
        <w:gridCol w:w="956"/>
        <w:gridCol w:w="894"/>
        <w:gridCol w:w="105"/>
        <w:gridCol w:w="831"/>
        <w:gridCol w:w="155"/>
        <w:gridCol w:w="943"/>
        <w:gridCol w:w="11"/>
        <w:gridCol w:w="621"/>
        <w:gridCol w:w="95"/>
        <w:gridCol w:w="655"/>
        <w:gridCol w:w="11"/>
        <w:gridCol w:w="1659"/>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669" w:hRule="atLeast"/>
        </w:trPr>
        <w:tc>
          <w:tcPr>
            <w:tcW w:w="138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9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7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1098"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3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9" w:type="dxa"/>
          <w:trHeight w:val="280"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7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41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67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保障单位日常运转，提高预算编制质量，严格执行预算</w:t>
            </w:r>
          </w:p>
        </w:tc>
        <w:tc>
          <w:tcPr>
            <w:tcW w:w="41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9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80"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32.40</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32.08</w:t>
            </w:r>
          </w:p>
        </w:tc>
        <w:tc>
          <w:tcPr>
            <w:tcW w:w="2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32.08</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32.40</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32.08</w:t>
            </w:r>
          </w:p>
        </w:tc>
        <w:tc>
          <w:tcPr>
            <w:tcW w:w="2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32.08</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科目调整次数</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0次 </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预算编制准确率（计算方法为：</w:t>
            </w:r>
            <w:r>
              <w:rPr>
                <w:rFonts w:ascii="宋体" w:hAnsi="宋体" w:eastAsia="宋体" w:cs="宋体"/>
                <w:i w:val="0"/>
                <w:color w:val="000000"/>
                <w:kern w:val="0"/>
                <w:sz w:val="18"/>
                <w:szCs w:val="18"/>
                <w:u w:val="none"/>
                <w:lang w:val="en-US" w:eastAsia="zh-CN" w:bidi="ar"/>
              </w:rPr>
              <w:t>∣</w:t>
            </w:r>
            <w:r>
              <w:rPr>
                <w:rStyle w:val="38"/>
                <w:rFonts w:hAnsi="宋体"/>
                <w:lang w:val="en-US" w:eastAsia="zh-CN" w:bidi="ar"/>
              </w:rPr>
              <w:t>（执行数-预算数）/预算数</w:t>
            </w:r>
            <w:r>
              <w:rPr>
                <w:rFonts w:ascii="宋体" w:hAnsi="宋体" w:eastAsia="宋体" w:cs="宋体"/>
                <w:i w:val="0"/>
                <w:color w:val="000000"/>
                <w:kern w:val="0"/>
                <w:sz w:val="18"/>
                <w:szCs w:val="18"/>
                <w:u w:val="none"/>
                <w:lang w:val="en-US" w:eastAsia="zh-CN" w:bidi="ar"/>
              </w:rPr>
              <w:t>∣</w:t>
            </w:r>
            <w:r>
              <w:rPr>
                <w:rStyle w:val="38"/>
                <w:rFonts w:hAnsi="宋体"/>
                <w:lang w:val="en-US" w:eastAsia="zh-CN" w:bidi="ar"/>
              </w:rPr>
              <w:t>）</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“三公经费”控制率[计算方法为：（三公经费实际支出数/预算安排数]×100%）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8.75%</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运转保障率</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76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5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定额公用经费（事业）绩效目标完成情况较好，自评得分100分。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9" w:type="dxa"/>
          <w:trHeight w:val="28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5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5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38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9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2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95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3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1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40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6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严格执行相关政策，保障规范后市级基础绩效奖及生活补助及时发放、足额发放，预算编制科学合理，减少结余资金。</w:t>
            </w:r>
          </w:p>
        </w:tc>
        <w:tc>
          <w:tcPr>
            <w:tcW w:w="40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严格执行相关政策，保障单位职工规范后市级基础绩效奖及生活补助及时发放、足额发放，年末无结余结转资金。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9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严格执行相关政策，按财政要求，保障单位职工规范后市级基础绩效奖及生活补助每月及时申报发放、足额发放，年末无结余结转资金。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1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19.31</w:t>
            </w:r>
          </w:p>
        </w:tc>
        <w:tc>
          <w:tcPr>
            <w:tcW w:w="2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19.31</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6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19.31</w:t>
            </w:r>
          </w:p>
        </w:tc>
        <w:tc>
          <w:tcPr>
            <w:tcW w:w="2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19.31</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31"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223"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2941" w:type="dxa"/>
            <w:gridSpan w:val="5"/>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95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color w:val="000000"/>
                <w:sz w:val="16"/>
                <w:szCs w:val="16"/>
                <w:u w:val="none"/>
              </w:rPr>
            </w:pPr>
          </w:p>
        </w:tc>
        <w:tc>
          <w:tcPr>
            <w:tcW w:w="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足额保障率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科目调整次数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次</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按时发放率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经济效益指标</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结余率（计算方法为：结余数/预算数）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22.5</w:t>
            </w:r>
          </w:p>
        </w:tc>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7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1088"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评价结论</w:t>
            </w:r>
          </w:p>
        </w:tc>
        <w:tc>
          <w:tcPr>
            <w:tcW w:w="12736" w:type="dxa"/>
            <w:gridSpan w:val="1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规范后市级基础绩效奖及生活补助绩效目标完成情况较好，自评得分100分。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存在问题</w:t>
            </w:r>
          </w:p>
        </w:tc>
        <w:tc>
          <w:tcPr>
            <w:tcW w:w="127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改进措施</w:t>
            </w:r>
          </w:p>
        </w:tc>
        <w:tc>
          <w:tcPr>
            <w:tcW w:w="127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无。</w:t>
            </w:r>
          </w:p>
        </w:tc>
      </w:tr>
    </w:tbl>
    <w:p>
      <w:pPr>
        <w:pStyle w:val="2"/>
        <w:rPr>
          <w:rFonts w:hint="eastAsia" w:ascii="方正小标宋简体" w:hAnsi="方正小标宋简体" w:eastAsia="方正小标宋简体" w:cs="方正小标宋简体"/>
          <w:i w:val="0"/>
          <w:color w:val="000000"/>
          <w:kern w:val="0"/>
          <w:sz w:val="15"/>
          <w:szCs w:val="15"/>
          <w:u w:val="none"/>
          <w:lang w:val="en-US" w:eastAsia="zh-CN" w:bidi="ar"/>
        </w:rPr>
      </w:pPr>
    </w:p>
    <w:tbl>
      <w:tblPr>
        <w:tblStyle w:val="14"/>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2053"/>
        <w:gridCol w:w="1769"/>
        <w:gridCol w:w="2263"/>
        <w:gridCol w:w="988"/>
        <w:gridCol w:w="825"/>
        <w:gridCol w:w="793"/>
        <w:gridCol w:w="997"/>
        <w:gridCol w:w="621"/>
        <w:gridCol w:w="654"/>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08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51080023T000008618947-高层次人才安家补助和工作补助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广元市体育局部门</w:t>
            </w:r>
          </w:p>
        </w:tc>
        <w:tc>
          <w:tcPr>
            <w:tcW w:w="99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 （盖章）</w:t>
            </w: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广元市业余体校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项目基本情况</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1.项目年度目标完成情况</w:t>
            </w:r>
          </w:p>
        </w:tc>
        <w:tc>
          <w:tcPr>
            <w:tcW w:w="6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项目年度目标</w:t>
            </w:r>
          </w:p>
        </w:tc>
        <w:tc>
          <w:tcPr>
            <w:tcW w:w="4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6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为单位增加体育人才，确保各项工作顺利开展。</w:t>
            </w:r>
          </w:p>
        </w:tc>
        <w:tc>
          <w:tcPr>
            <w:tcW w:w="4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单位增加体育人才1人，唐宁。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2.项目实施内容及过程概述</w:t>
            </w:r>
          </w:p>
        </w:tc>
        <w:tc>
          <w:tcPr>
            <w:tcW w:w="108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该项目主要用于引进人才唐宁安家补助8万元、工作补助0.3万元。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预算执行情况（10分）</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年度预算数（万元）</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调整后预算数</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预算执行率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总额</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8.30</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5"/>
                <w:szCs w:val="15"/>
                <w:u w:val="none"/>
                <w:lang w:val="en-US" w:eastAsia="zh-CN" w:bidi="ar"/>
              </w:rPr>
              <w:t>2022年12月追加引进高层次人才安家补助和工作补助8.3万元，由于2022年12月30日支付时，引进人才唐宁未告知其银行卡属于二类卡，转入资金额度不能超过1万元，故银行退回8.3万元。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其中：财政资金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8.30</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财政专户管理资金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绩效指标（90分）</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指标值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度量单位</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权重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引进人才</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发放完成率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发放时间</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2022年</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整体干部队伍综合素质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提高</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提高</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补助对象满意度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0.95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项目总成本</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6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highlight w:val="none"/>
                <w:u w:val="none"/>
              </w:rPr>
            </w:pPr>
            <w:r>
              <w:rPr>
                <w:rFonts w:hint="eastAsia" w:ascii="仿宋_GB2312" w:hAnsi="宋体" w:eastAsia="仿宋_GB2312" w:cs="仿宋_GB2312"/>
                <w:i w:val="0"/>
                <w:color w:val="000000"/>
                <w:kern w:val="0"/>
                <w:sz w:val="18"/>
                <w:szCs w:val="18"/>
                <w:highlight w:val="none"/>
                <w:u w:val="none"/>
                <w:lang w:val="en-US" w:eastAsia="zh-CN" w:bidi="ar"/>
              </w:rPr>
              <w:t>评价结论</w:t>
            </w:r>
          </w:p>
        </w:tc>
        <w:tc>
          <w:tcPr>
            <w:tcW w:w="128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highlight w:val="none"/>
                <w:u w:val="none"/>
              </w:rPr>
            </w:pPr>
            <w:r>
              <w:rPr>
                <w:rFonts w:hint="eastAsia" w:ascii="仿宋_GB2312" w:hAnsi="宋体" w:eastAsia="仿宋_GB2312" w:cs="仿宋_GB2312"/>
                <w:i w:val="0"/>
                <w:color w:val="000000"/>
                <w:kern w:val="0"/>
                <w:sz w:val="18"/>
                <w:szCs w:val="18"/>
                <w:highlight w:val="none"/>
                <w:u w:val="none"/>
                <w:lang w:val="en-US" w:eastAsia="zh-CN" w:bidi="ar"/>
              </w:rPr>
              <w:t>2022年度高层次人才安家补助和工作补助项目使用支出绩效目标完成良好，自评得分93分。在使用该项目资金时，唐宁本人未告知银行卡属二类卡，导致该经费未顺利实现支出，但该项目的实施对引进人才更好的投身于工作，扎根于工作具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highlight w:val="none"/>
                <w:u w:val="none"/>
              </w:rPr>
            </w:pPr>
            <w:r>
              <w:rPr>
                <w:rFonts w:hint="eastAsia" w:ascii="仿宋_GB2312" w:hAnsi="宋体" w:eastAsia="仿宋_GB2312" w:cs="仿宋_GB2312"/>
                <w:i w:val="0"/>
                <w:color w:val="000000"/>
                <w:kern w:val="0"/>
                <w:sz w:val="18"/>
                <w:szCs w:val="18"/>
                <w:highlight w:val="none"/>
                <w:u w:val="none"/>
                <w:lang w:val="en-US" w:eastAsia="zh-CN" w:bidi="ar"/>
              </w:rPr>
              <w:t>存在问题</w:t>
            </w:r>
          </w:p>
        </w:tc>
        <w:tc>
          <w:tcPr>
            <w:tcW w:w="128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highlight w:val="none"/>
                <w:u w:val="none"/>
              </w:rPr>
            </w:pPr>
            <w:r>
              <w:rPr>
                <w:rFonts w:hint="eastAsia" w:ascii="仿宋_GB2312" w:hAnsi="宋体" w:eastAsia="仿宋_GB2312" w:cs="仿宋_GB2312"/>
                <w:i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highlight w:val="none"/>
                <w:u w:val="none"/>
              </w:rPr>
            </w:pPr>
            <w:r>
              <w:rPr>
                <w:rFonts w:hint="eastAsia" w:ascii="仿宋_GB2312" w:hAnsi="宋体" w:eastAsia="仿宋_GB2312" w:cs="仿宋_GB2312"/>
                <w:i w:val="0"/>
                <w:color w:val="000000"/>
                <w:kern w:val="0"/>
                <w:sz w:val="18"/>
                <w:szCs w:val="18"/>
                <w:highlight w:val="none"/>
                <w:u w:val="none"/>
                <w:lang w:val="en-US" w:eastAsia="zh-CN" w:bidi="ar"/>
              </w:rPr>
              <w:t>改进措施</w:t>
            </w:r>
          </w:p>
        </w:tc>
        <w:tc>
          <w:tcPr>
            <w:tcW w:w="128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highlight w:val="none"/>
                <w:u w:val="none"/>
              </w:rPr>
            </w:pPr>
            <w:r>
              <w:rPr>
                <w:rFonts w:hint="eastAsia" w:ascii="仿宋_GB2312" w:hAnsi="宋体" w:eastAsia="仿宋_GB2312" w:cs="仿宋_GB2312"/>
                <w:i w:val="0"/>
                <w:color w:val="000000"/>
                <w:kern w:val="0"/>
                <w:sz w:val="18"/>
                <w:szCs w:val="18"/>
                <w:highlight w:val="none"/>
                <w:u w:val="none"/>
                <w:lang w:val="en-US" w:eastAsia="zh-CN" w:bidi="ar"/>
              </w:rPr>
              <w:t>无。</w:t>
            </w:r>
          </w:p>
        </w:tc>
      </w:tr>
    </w:tbl>
    <w:p>
      <w:pPr>
        <w:rPr>
          <w:rFonts w:hint="eastAsia" w:ascii="方正小标宋简体" w:hAnsi="方正小标宋简体" w:eastAsia="方正小标宋简体" w:cs="方正小标宋简体"/>
          <w:i w:val="0"/>
          <w:color w:val="000000"/>
          <w:kern w:val="0"/>
          <w:sz w:val="15"/>
          <w:szCs w:val="15"/>
          <w:u w:val="none"/>
          <w:lang w:val="en-US" w:eastAsia="zh-CN" w:bidi="ar"/>
        </w:rPr>
      </w:pPr>
    </w:p>
    <w:p>
      <w:pPr>
        <w:pStyle w:val="2"/>
        <w:rPr>
          <w:rFonts w:hint="eastAsia" w:ascii="方正小标宋简体" w:hAnsi="方正小标宋简体" w:eastAsia="方正小标宋简体" w:cs="方正小标宋简体"/>
          <w:i w:val="0"/>
          <w:color w:val="000000"/>
          <w:kern w:val="0"/>
          <w:sz w:val="15"/>
          <w:szCs w:val="15"/>
          <w:u w:val="none"/>
          <w:lang w:val="en-US" w:eastAsia="zh-CN" w:bidi="ar"/>
        </w:rPr>
      </w:pPr>
    </w:p>
    <w:p>
      <w:pPr>
        <w:pStyle w:val="2"/>
        <w:rPr>
          <w:rFonts w:hint="eastAsia"/>
          <w:lang w:val="en-US" w:eastAsia="zh-CN"/>
        </w:rPr>
        <w:sectPr>
          <w:pgSz w:w="16838" w:h="11906" w:orient="landscape"/>
          <w:pgMar w:top="1463" w:right="1440" w:bottom="1349" w:left="1440" w:header="851" w:footer="992" w:gutter="0"/>
          <w:pgNumType w:fmt="decimal"/>
          <w:cols w:space="0" w:num="1"/>
          <w:titlePg/>
          <w:rtlGutter w:val="0"/>
          <w:docGrid w:type="lines" w:linePitch="312" w:charSpace="0"/>
        </w:sectPr>
      </w:pPr>
    </w:p>
    <w:p>
      <w:pPr>
        <w:spacing w:line="600" w:lineRule="exact"/>
        <w:jc w:val="both"/>
        <w:outlineLvl w:val="0"/>
        <w:rPr>
          <w:rFonts w:hint="eastAsia" w:ascii="仿宋" w:hAnsi="仿宋" w:eastAsia="仿宋"/>
          <w:b w:val="0"/>
          <w:color w:val="auto"/>
          <w:highlight w:val="none"/>
        </w:rPr>
      </w:pPr>
      <w:bookmarkStart w:id="78" w:name="_Toc10913"/>
      <w:r>
        <w:rPr>
          <w:rFonts w:hint="eastAsia" w:ascii="黑体" w:hAnsi="黑体" w:eastAsia="黑体"/>
          <w:color w:val="auto"/>
          <w:sz w:val="44"/>
          <w:szCs w:val="44"/>
          <w:highlight w:val="none"/>
        </w:rPr>
        <w:t>第</w:t>
      </w:r>
      <w:r>
        <w:rPr>
          <w:rStyle w:val="18"/>
          <w:rFonts w:hint="eastAsia" w:ascii="黑体" w:hAnsi="黑体" w:eastAsia="黑体"/>
          <w:b w:val="0"/>
          <w:color w:val="auto"/>
          <w:highlight w:val="none"/>
        </w:rPr>
        <w:t>五部分 附表</w:t>
      </w:r>
      <w:bookmarkEnd w:id="78"/>
      <w:bookmarkStart w:id="79" w:name="_Toc15396619"/>
    </w:p>
    <w:p>
      <w:pPr>
        <w:pStyle w:val="4"/>
        <w:rPr>
          <w:rFonts w:ascii="仿宋" w:hAnsi="仿宋" w:eastAsia="仿宋"/>
          <w:color w:val="auto"/>
          <w:highlight w:val="none"/>
        </w:rPr>
      </w:pPr>
      <w:bookmarkStart w:id="80" w:name="_Toc12916"/>
      <w:r>
        <w:rPr>
          <w:rFonts w:hint="eastAsia" w:ascii="仿宋" w:hAnsi="仿宋" w:eastAsia="仿宋"/>
          <w:b w:val="0"/>
          <w:color w:val="auto"/>
          <w:highlight w:val="none"/>
        </w:rPr>
        <w:t>一、收</w:t>
      </w:r>
      <w:r>
        <w:rPr>
          <w:rStyle w:val="19"/>
          <w:rFonts w:hint="eastAsia" w:ascii="仿宋" w:hAnsi="仿宋" w:eastAsia="仿宋"/>
          <w:b w:val="0"/>
          <w:bCs w:val="0"/>
          <w:color w:val="auto"/>
          <w:highlight w:val="none"/>
        </w:rPr>
        <w:t>入支出决算总表</w:t>
      </w:r>
      <w:bookmarkEnd w:id="79"/>
      <w:bookmarkEnd w:id="80"/>
    </w:p>
    <w:p>
      <w:pPr>
        <w:pStyle w:val="4"/>
        <w:rPr>
          <w:rFonts w:ascii="仿宋" w:hAnsi="仿宋" w:eastAsia="仿宋"/>
          <w:color w:val="auto"/>
          <w:highlight w:val="none"/>
        </w:rPr>
      </w:pPr>
      <w:bookmarkStart w:id="81" w:name="_Toc15396620"/>
      <w:bookmarkStart w:id="82" w:name="_Toc20548"/>
      <w:r>
        <w:rPr>
          <w:rFonts w:hint="eastAsia" w:ascii="仿宋" w:hAnsi="仿宋" w:eastAsia="仿宋"/>
          <w:b w:val="0"/>
          <w:color w:val="auto"/>
          <w:highlight w:val="none"/>
        </w:rPr>
        <w:t>二、收</w:t>
      </w:r>
      <w:r>
        <w:rPr>
          <w:rStyle w:val="19"/>
          <w:rFonts w:hint="eastAsia" w:ascii="仿宋" w:hAnsi="仿宋" w:eastAsia="仿宋"/>
          <w:b w:val="0"/>
          <w:bCs w:val="0"/>
          <w:color w:val="auto"/>
          <w:highlight w:val="none"/>
        </w:rPr>
        <w:t>入决算表</w:t>
      </w:r>
      <w:bookmarkEnd w:id="81"/>
      <w:bookmarkEnd w:id="82"/>
    </w:p>
    <w:p>
      <w:pPr>
        <w:pStyle w:val="4"/>
        <w:rPr>
          <w:rFonts w:ascii="仿宋" w:hAnsi="仿宋" w:eastAsia="仿宋"/>
          <w:color w:val="auto"/>
          <w:highlight w:val="none"/>
        </w:rPr>
      </w:pPr>
      <w:bookmarkStart w:id="83" w:name="_Toc15396621"/>
      <w:bookmarkStart w:id="84" w:name="_Toc17071"/>
      <w:r>
        <w:rPr>
          <w:rStyle w:val="1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9"/>
          <w:rFonts w:hint="eastAsia" w:ascii="仿宋" w:hAnsi="仿宋" w:eastAsia="仿宋"/>
          <w:b w:val="0"/>
          <w:bCs w:val="0"/>
          <w:color w:val="auto"/>
          <w:highlight w:val="none"/>
        </w:rPr>
        <w:t>出决算表</w:t>
      </w:r>
      <w:bookmarkEnd w:id="83"/>
      <w:bookmarkEnd w:id="84"/>
    </w:p>
    <w:p>
      <w:pPr>
        <w:pStyle w:val="4"/>
        <w:rPr>
          <w:rFonts w:ascii="仿宋" w:hAnsi="仿宋" w:eastAsia="仿宋"/>
          <w:b w:val="0"/>
          <w:color w:val="auto"/>
          <w:highlight w:val="none"/>
        </w:rPr>
      </w:pPr>
      <w:bookmarkStart w:id="85" w:name="_Toc15396622"/>
      <w:bookmarkStart w:id="86" w:name="_Toc1230"/>
      <w:r>
        <w:rPr>
          <w:rStyle w:val="1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9"/>
          <w:rFonts w:hint="eastAsia" w:ascii="仿宋" w:hAnsi="仿宋" w:eastAsia="仿宋"/>
          <w:b w:val="0"/>
          <w:bCs w:val="0"/>
          <w:color w:val="auto"/>
          <w:highlight w:val="none"/>
        </w:rPr>
        <w:t>政拨款收入支出决算总表</w:t>
      </w:r>
      <w:bookmarkEnd w:id="85"/>
      <w:bookmarkEnd w:id="86"/>
    </w:p>
    <w:p>
      <w:pPr>
        <w:pStyle w:val="4"/>
        <w:rPr>
          <w:rStyle w:val="19"/>
          <w:rFonts w:ascii="仿宋" w:hAnsi="仿宋" w:eastAsia="仿宋"/>
          <w:b w:val="0"/>
          <w:bCs w:val="0"/>
          <w:color w:val="auto"/>
          <w:highlight w:val="none"/>
        </w:rPr>
      </w:pPr>
      <w:bookmarkStart w:id="87" w:name="_Toc15229"/>
      <w:bookmarkStart w:id="88" w:name="_Toc15396623"/>
      <w:r>
        <w:rPr>
          <w:rStyle w:val="1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9"/>
          <w:rFonts w:hint="eastAsia" w:ascii="仿宋" w:hAnsi="仿宋" w:eastAsia="仿宋"/>
          <w:b w:val="0"/>
          <w:bCs w:val="0"/>
          <w:color w:val="auto"/>
          <w:highlight w:val="none"/>
        </w:rPr>
        <w:t>政拨款支出决算明细表</w:t>
      </w:r>
      <w:bookmarkEnd w:id="87"/>
      <w:bookmarkEnd w:id="88"/>
      <w:bookmarkStart w:id="89" w:name="_Toc15396624"/>
    </w:p>
    <w:p>
      <w:pPr>
        <w:pStyle w:val="4"/>
        <w:rPr>
          <w:rFonts w:ascii="仿宋" w:hAnsi="仿宋" w:eastAsia="仿宋"/>
          <w:color w:val="auto"/>
          <w:highlight w:val="none"/>
        </w:rPr>
      </w:pPr>
      <w:bookmarkStart w:id="90" w:name="_Toc1206"/>
      <w:r>
        <w:rPr>
          <w:rStyle w:val="1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般公共预算财政拨款支出决算表</w:t>
      </w:r>
      <w:bookmarkEnd w:id="89"/>
      <w:bookmarkEnd w:id="90"/>
    </w:p>
    <w:p>
      <w:pPr>
        <w:pStyle w:val="4"/>
        <w:rPr>
          <w:rFonts w:ascii="仿宋" w:hAnsi="仿宋" w:eastAsia="仿宋"/>
          <w:color w:val="auto"/>
          <w:highlight w:val="none"/>
        </w:rPr>
      </w:pPr>
      <w:bookmarkStart w:id="91" w:name="_Toc29678"/>
      <w:bookmarkStart w:id="92" w:name="_Toc15396625"/>
      <w:r>
        <w:rPr>
          <w:rStyle w:val="1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般公共预算财政拨款支出决算明细表</w:t>
      </w:r>
      <w:bookmarkEnd w:id="91"/>
      <w:bookmarkEnd w:id="92"/>
    </w:p>
    <w:p>
      <w:pPr>
        <w:pStyle w:val="4"/>
        <w:rPr>
          <w:rFonts w:ascii="仿宋" w:hAnsi="仿宋" w:eastAsia="仿宋"/>
          <w:color w:val="auto"/>
          <w:highlight w:val="none"/>
        </w:rPr>
      </w:pPr>
      <w:bookmarkStart w:id="93" w:name="_Toc19858"/>
      <w:bookmarkStart w:id="94" w:name="_Toc15396626"/>
      <w:r>
        <w:rPr>
          <w:rStyle w:val="1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般公共预算财政拨款基本支出决算表</w:t>
      </w:r>
      <w:bookmarkEnd w:id="93"/>
      <w:bookmarkEnd w:id="94"/>
    </w:p>
    <w:p>
      <w:pPr>
        <w:pStyle w:val="4"/>
        <w:rPr>
          <w:rFonts w:ascii="仿宋" w:hAnsi="仿宋" w:eastAsia="仿宋"/>
          <w:color w:val="auto"/>
          <w:highlight w:val="none"/>
        </w:rPr>
      </w:pPr>
      <w:bookmarkStart w:id="95" w:name="_Toc15396627"/>
      <w:bookmarkStart w:id="96" w:name="_Toc29424"/>
      <w:r>
        <w:rPr>
          <w:rStyle w:val="1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般公共预算财政拨款项目支出决算表</w:t>
      </w:r>
      <w:bookmarkEnd w:id="95"/>
      <w:bookmarkEnd w:id="96"/>
    </w:p>
    <w:p>
      <w:pPr>
        <w:pStyle w:val="4"/>
        <w:rPr>
          <w:rFonts w:ascii="仿宋" w:hAnsi="仿宋" w:eastAsia="仿宋"/>
          <w:color w:val="auto"/>
          <w:highlight w:val="none"/>
        </w:rPr>
      </w:pPr>
      <w:bookmarkStart w:id="97" w:name="_Toc15396628"/>
      <w:bookmarkStart w:id="98" w:name="_Toc13158"/>
      <w:r>
        <w:rPr>
          <w:rStyle w:val="19"/>
          <w:rFonts w:hint="eastAsia" w:ascii="仿宋" w:hAnsi="仿宋" w:eastAsia="仿宋"/>
          <w:b w:val="0"/>
          <w:bCs w:val="0"/>
          <w:color w:val="auto"/>
          <w:highlight w:val="none"/>
        </w:rPr>
        <w:t>十、</w:t>
      </w:r>
      <w:bookmarkEnd w:id="97"/>
      <w:r>
        <w:rPr>
          <w:rFonts w:hint="eastAsia" w:ascii="仿宋" w:hAnsi="仿宋" w:eastAsia="仿宋"/>
          <w:b w:val="0"/>
          <w:color w:val="auto"/>
          <w:highlight w:val="none"/>
        </w:rPr>
        <w:t>政</w:t>
      </w:r>
      <w:r>
        <w:rPr>
          <w:rStyle w:val="19"/>
          <w:rFonts w:hint="eastAsia" w:ascii="仿宋" w:hAnsi="仿宋" w:eastAsia="仿宋"/>
          <w:b w:val="0"/>
          <w:bCs w:val="0"/>
          <w:color w:val="auto"/>
          <w:highlight w:val="none"/>
        </w:rPr>
        <w:t>府性基金预算财政拨款收入支出决算表</w:t>
      </w:r>
      <w:bookmarkEnd w:id="98"/>
    </w:p>
    <w:p>
      <w:pPr>
        <w:pStyle w:val="4"/>
        <w:rPr>
          <w:rFonts w:ascii="仿宋" w:hAnsi="仿宋" w:eastAsia="仿宋"/>
          <w:color w:val="auto"/>
          <w:highlight w:val="none"/>
        </w:rPr>
      </w:pPr>
      <w:bookmarkStart w:id="99" w:name="_Toc15396629"/>
      <w:bookmarkStart w:id="100" w:name="_Toc18952"/>
      <w:r>
        <w:rPr>
          <w:rStyle w:val="19"/>
          <w:rFonts w:hint="eastAsia" w:ascii="仿宋" w:hAnsi="仿宋" w:eastAsia="仿宋"/>
          <w:b w:val="0"/>
          <w:bCs w:val="0"/>
          <w:color w:val="auto"/>
          <w:highlight w:val="none"/>
        </w:rPr>
        <w:t>十一、</w:t>
      </w:r>
      <w:bookmarkEnd w:id="99"/>
      <w:r>
        <w:rPr>
          <w:rFonts w:hint="eastAsia" w:ascii="仿宋" w:hAnsi="仿宋" w:eastAsia="仿宋"/>
          <w:b w:val="0"/>
          <w:color w:val="auto"/>
          <w:highlight w:val="none"/>
        </w:rPr>
        <w:t>国</w:t>
      </w:r>
      <w:r>
        <w:rPr>
          <w:rStyle w:val="19"/>
          <w:rFonts w:hint="eastAsia" w:ascii="仿宋" w:hAnsi="仿宋" w:eastAsia="仿宋"/>
          <w:b w:val="0"/>
          <w:bCs w:val="0"/>
          <w:color w:val="auto"/>
          <w:highlight w:val="none"/>
        </w:rPr>
        <w:t>有资本经营预算</w:t>
      </w:r>
      <w:r>
        <w:rPr>
          <w:rStyle w:val="19"/>
          <w:rFonts w:hint="eastAsia" w:ascii="仿宋" w:hAnsi="仿宋" w:eastAsia="仿宋"/>
          <w:b w:val="0"/>
          <w:bCs w:val="0"/>
          <w:color w:val="auto"/>
          <w:highlight w:val="none"/>
          <w:lang w:eastAsia="zh-CN"/>
        </w:rPr>
        <w:t>财政拨款收入</w:t>
      </w:r>
      <w:r>
        <w:rPr>
          <w:rStyle w:val="19"/>
          <w:rFonts w:hint="eastAsia" w:ascii="仿宋" w:hAnsi="仿宋" w:eastAsia="仿宋"/>
          <w:b w:val="0"/>
          <w:bCs w:val="0"/>
          <w:color w:val="auto"/>
          <w:highlight w:val="none"/>
        </w:rPr>
        <w:t>支出决算表</w:t>
      </w:r>
      <w:bookmarkEnd w:id="100"/>
    </w:p>
    <w:p>
      <w:pPr>
        <w:pStyle w:val="4"/>
        <w:rPr>
          <w:rFonts w:ascii="仿宋" w:hAnsi="仿宋" w:eastAsia="仿宋"/>
          <w:color w:val="auto"/>
          <w:highlight w:val="none"/>
        </w:rPr>
      </w:pPr>
      <w:bookmarkStart w:id="101" w:name="_Toc15396630"/>
      <w:bookmarkStart w:id="102" w:name="_Toc261"/>
      <w:r>
        <w:rPr>
          <w:rStyle w:val="19"/>
          <w:rFonts w:hint="eastAsia" w:ascii="仿宋" w:hAnsi="仿宋" w:eastAsia="仿宋"/>
          <w:b w:val="0"/>
          <w:bCs w:val="0"/>
          <w:color w:val="auto"/>
          <w:highlight w:val="none"/>
        </w:rPr>
        <w:t>十二、</w:t>
      </w:r>
      <w:bookmarkEnd w:id="101"/>
      <w:r>
        <w:rPr>
          <w:rStyle w:val="19"/>
          <w:rFonts w:hint="eastAsia" w:ascii="仿宋" w:hAnsi="仿宋" w:eastAsia="仿宋"/>
          <w:b w:val="0"/>
          <w:bCs w:val="0"/>
          <w:color w:val="auto"/>
          <w:highlight w:val="none"/>
          <w:lang w:eastAsia="zh-CN"/>
        </w:rPr>
        <w:t>国有资本经营预算财政拨款支出决算表</w:t>
      </w:r>
      <w:bookmarkEnd w:id="102"/>
    </w:p>
    <w:p>
      <w:pPr>
        <w:pStyle w:val="4"/>
        <w:tabs>
          <w:tab w:val="right" w:pos="8306"/>
        </w:tabs>
        <w:rPr>
          <w:rFonts w:hint="eastAsia"/>
          <w:lang w:eastAsia="zh-CN"/>
        </w:rPr>
      </w:pPr>
      <w:bookmarkStart w:id="103" w:name="_Toc15396631"/>
      <w:bookmarkStart w:id="104" w:name="_Toc8850"/>
      <w:r>
        <w:rPr>
          <w:rStyle w:val="19"/>
          <w:rFonts w:hint="eastAsia" w:ascii="仿宋" w:hAnsi="仿宋" w:eastAsia="仿宋"/>
          <w:b w:val="0"/>
          <w:bCs w:val="0"/>
          <w:color w:val="auto"/>
          <w:highlight w:val="none"/>
        </w:rPr>
        <w:t>十三、</w:t>
      </w:r>
      <w:bookmarkEnd w:id="103"/>
      <w:r>
        <w:rPr>
          <w:rStyle w:val="19"/>
          <w:rFonts w:hint="eastAsia" w:ascii="仿宋" w:hAnsi="仿宋" w:eastAsia="仿宋"/>
          <w:b w:val="0"/>
          <w:bCs w:val="0"/>
          <w:color w:val="auto"/>
          <w:highlight w:val="none"/>
          <w:lang w:eastAsia="zh-CN"/>
        </w:rPr>
        <w:t>财政拨款“三公”经费支出决算表</w:t>
      </w:r>
      <w:bookmarkEnd w:id="76"/>
      <w:bookmarkEnd w:id="77"/>
      <w:bookmarkEnd w:id="104"/>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Georgia"/>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- 4 -</w:t>
                    </w:r>
                    <w: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DFBA168"/>
    <w:multiLevelType w:val="singleLevel"/>
    <w:tmpl w:val="FDFBA168"/>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E41CF8"/>
    <w:rsid w:val="053A62B5"/>
    <w:rsid w:val="07BF3710"/>
    <w:rsid w:val="07DB7F2B"/>
    <w:rsid w:val="07F3B0BE"/>
    <w:rsid w:val="0A2032A3"/>
    <w:rsid w:val="0B8A37D8"/>
    <w:rsid w:val="0BDAB37C"/>
    <w:rsid w:val="0DDB8933"/>
    <w:rsid w:val="0F68377F"/>
    <w:rsid w:val="0FBF4DD2"/>
    <w:rsid w:val="0FBF57A4"/>
    <w:rsid w:val="0FD90941"/>
    <w:rsid w:val="0FDBBB37"/>
    <w:rsid w:val="0FE9EDAA"/>
    <w:rsid w:val="0FF4088E"/>
    <w:rsid w:val="10C055FF"/>
    <w:rsid w:val="118107EC"/>
    <w:rsid w:val="11DD6519"/>
    <w:rsid w:val="13C7458C"/>
    <w:rsid w:val="16BB723D"/>
    <w:rsid w:val="175368DE"/>
    <w:rsid w:val="17B7AD28"/>
    <w:rsid w:val="17FB34F4"/>
    <w:rsid w:val="18015F3F"/>
    <w:rsid w:val="18FFBD89"/>
    <w:rsid w:val="193C045A"/>
    <w:rsid w:val="1B7D84CC"/>
    <w:rsid w:val="1BBF4B43"/>
    <w:rsid w:val="1BDE692D"/>
    <w:rsid w:val="1BE8440E"/>
    <w:rsid w:val="1BFD7B2D"/>
    <w:rsid w:val="1D155CEE"/>
    <w:rsid w:val="1D6D8C92"/>
    <w:rsid w:val="1DFF7006"/>
    <w:rsid w:val="1EFD8C0A"/>
    <w:rsid w:val="1F3C0C4E"/>
    <w:rsid w:val="1F6EAABF"/>
    <w:rsid w:val="1F722E60"/>
    <w:rsid w:val="1F7DCBF6"/>
    <w:rsid w:val="1F7F6A06"/>
    <w:rsid w:val="1FAD8F3B"/>
    <w:rsid w:val="1FBF522A"/>
    <w:rsid w:val="1FBF9EF1"/>
    <w:rsid w:val="1FE3D759"/>
    <w:rsid w:val="1FE7C664"/>
    <w:rsid w:val="1FFD4468"/>
    <w:rsid w:val="1FFD9933"/>
    <w:rsid w:val="1FFFD4B7"/>
    <w:rsid w:val="20F57F95"/>
    <w:rsid w:val="22FFF379"/>
    <w:rsid w:val="240371BF"/>
    <w:rsid w:val="25711CC6"/>
    <w:rsid w:val="25C741E6"/>
    <w:rsid w:val="25E6B35D"/>
    <w:rsid w:val="27842671"/>
    <w:rsid w:val="27D690F5"/>
    <w:rsid w:val="27F7484A"/>
    <w:rsid w:val="27FF7E7B"/>
    <w:rsid w:val="29FD04D3"/>
    <w:rsid w:val="2A66E315"/>
    <w:rsid w:val="2ABDE0C3"/>
    <w:rsid w:val="2ABE7A3E"/>
    <w:rsid w:val="2BD7FB4B"/>
    <w:rsid w:val="2BD9CA3B"/>
    <w:rsid w:val="2BDAF7E7"/>
    <w:rsid w:val="2CA234A8"/>
    <w:rsid w:val="2D716998"/>
    <w:rsid w:val="2DFDFA28"/>
    <w:rsid w:val="2DFF23B1"/>
    <w:rsid w:val="2EECD308"/>
    <w:rsid w:val="2EFA178C"/>
    <w:rsid w:val="2F6F170E"/>
    <w:rsid w:val="2F7FC9B9"/>
    <w:rsid w:val="2F8F99C5"/>
    <w:rsid w:val="2FD1EAF9"/>
    <w:rsid w:val="2FD98248"/>
    <w:rsid w:val="2FDF3154"/>
    <w:rsid w:val="2FF53E9C"/>
    <w:rsid w:val="2FFD0C48"/>
    <w:rsid w:val="2FFDC3CC"/>
    <w:rsid w:val="2FFF27FA"/>
    <w:rsid w:val="2FFFF26C"/>
    <w:rsid w:val="30B46D73"/>
    <w:rsid w:val="319F7F4E"/>
    <w:rsid w:val="31F663C3"/>
    <w:rsid w:val="32DFBD4B"/>
    <w:rsid w:val="33AB8A56"/>
    <w:rsid w:val="33FB51B0"/>
    <w:rsid w:val="34EF2A15"/>
    <w:rsid w:val="356E42B2"/>
    <w:rsid w:val="35BF172E"/>
    <w:rsid w:val="36F3656B"/>
    <w:rsid w:val="370EC5F2"/>
    <w:rsid w:val="373B3712"/>
    <w:rsid w:val="37576151"/>
    <w:rsid w:val="375FFD93"/>
    <w:rsid w:val="379F4A02"/>
    <w:rsid w:val="37AD43EF"/>
    <w:rsid w:val="37CB8613"/>
    <w:rsid w:val="37F9A470"/>
    <w:rsid w:val="37FD3D70"/>
    <w:rsid w:val="37FE110D"/>
    <w:rsid w:val="383D272C"/>
    <w:rsid w:val="38FCFF77"/>
    <w:rsid w:val="3957D4F1"/>
    <w:rsid w:val="39AE70AB"/>
    <w:rsid w:val="39FF953E"/>
    <w:rsid w:val="3A7D7963"/>
    <w:rsid w:val="3ADE43C3"/>
    <w:rsid w:val="3ADF00B5"/>
    <w:rsid w:val="3B5E73F8"/>
    <w:rsid w:val="3BBB1F6C"/>
    <w:rsid w:val="3BBE06A5"/>
    <w:rsid w:val="3BDF20B4"/>
    <w:rsid w:val="3BE600B3"/>
    <w:rsid w:val="3BE671E1"/>
    <w:rsid w:val="3BED0EF4"/>
    <w:rsid w:val="3BFABCA4"/>
    <w:rsid w:val="3BFEFA9C"/>
    <w:rsid w:val="3C0C0783"/>
    <w:rsid w:val="3C77B05B"/>
    <w:rsid w:val="3CB8142E"/>
    <w:rsid w:val="3CEBA31B"/>
    <w:rsid w:val="3CF72399"/>
    <w:rsid w:val="3D26DC9C"/>
    <w:rsid w:val="3D2B0CDC"/>
    <w:rsid w:val="3D3B98B3"/>
    <w:rsid w:val="3D56EE84"/>
    <w:rsid w:val="3D57B5C6"/>
    <w:rsid w:val="3D5F3352"/>
    <w:rsid w:val="3D6FE1D3"/>
    <w:rsid w:val="3DB5F54E"/>
    <w:rsid w:val="3DBFDE46"/>
    <w:rsid w:val="3DD8F2B5"/>
    <w:rsid w:val="3DF99DD9"/>
    <w:rsid w:val="3DFF244F"/>
    <w:rsid w:val="3DFF5224"/>
    <w:rsid w:val="3E5F27BD"/>
    <w:rsid w:val="3E7771BA"/>
    <w:rsid w:val="3E9FB9E9"/>
    <w:rsid w:val="3EA78A81"/>
    <w:rsid w:val="3EAFA24E"/>
    <w:rsid w:val="3EE783B4"/>
    <w:rsid w:val="3EEEDE00"/>
    <w:rsid w:val="3F3E9D4D"/>
    <w:rsid w:val="3F5A3D20"/>
    <w:rsid w:val="3F5D6EA9"/>
    <w:rsid w:val="3F7B27BB"/>
    <w:rsid w:val="3F7B3AB5"/>
    <w:rsid w:val="3F9721F7"/>
    <w:rsid w:val="3F9C22D2"/>
    <w:rsid w:val="3F9F3A96"/>
    <w:rsid w:val="3FA9DC6D"/>
    <w:rsid w:val="3FAB2BA8"/>
    <w:rsid w:val="3FAFC20C"/>
    <w:rsid w:val="3FB9BF39"/>
    <w:rsid w:val="3FBF3371"/>
    <w:rsid w:val="3FD73296"/>
    <w:rsid w:val="3FD9E71B"/>
    <w:rsid w:val="3FDF2CBA"/>
    <w:rsid w:val="3FDF43C4"/>
    <w:rsid w:val="3FDF50CB"/>
    <w:rsid w:val="3FDFE243"/>
    <w:rsid w:val="3FE63104"/>
    <w:rsid w:val="3FEF7371"/>
    <w:rsid w:val="3FF39CD0"/>
    <w:rsid w:val="3FF752E3"/>
    <w:rsid w:val="3FFA5C75"/>
    <w:rsid w:val="3FFE153A"/>
    <w:rsid w:val="3FFE1BF9"/>
    <w:rsid w:val="3FFF1064"/>
    <w:rsid w:val="3FFFDCF9"/>
    <w:rsid w:val="405B3232"/>
    <w:rsid w:val="40665E70"/>
    <w:rsid w:val="41085755"/>
    <w:rsid w:val="44FF8409"/>
    <w:rsid w:val="45FF64FB"/>
    <w:rsid w:val="47BF135B"/>
    <w:rsid w:val="47FE8E91"/>
    <w:rsid w:val="47FF44CE"/>
    <w:rsid w:val="47FF9632"/>
    <w:rsid w:val="48BF60AB"/>
    <w:rsid w:val="493C27E9"/>
    <w:rsid w:val="496F39ED"/>
    <w:rsid w:val="496FF847"/>
    <w:rsid w:val="49FF41D3"/>
    <w:rsid w:val="4B3DCFD6"/>
    <w:rsid w:val="4B7FF528"/>
    <w:rsid w:val="4BE068DB"/>
    <w:rsid w:val="4BE90DA4"/>
    <w:rsid w:val="4BF6002B"/>
    <w:rsid w:val="4D6F943F"/>
    <w:rsid w:val="4D9E5105"/>
    <w:rsid w:val="4EAD2AC4"/>
    <w:rsid w:val="4ECE2238"/>
    <w:rsid w:val="4EFD66C1"/>
    <w:rsid w:val="4EFD7514"/>
    <w:rsid w:val="4F794F7F"/>
    <w:rsid w:val="4F7FCD24"/>
    <w:rsid w:val="4FDD5363"/>
    <w:rsid w:val="4FDE8C0A"/>
    <w:rsid w:val="4FDEB937"/>
    <w:rsid w:val="4FED26C0"/>
    <w:rsid w:val="4FFDE6BA"/>
    <w:rsid w:val="4FFF77DA"/>
    <w:rsid w:val="51376219"/>
    <w:rsid w:val="51DB4B86"/>
    <w:rsid w:val="52DFD501"/>
    <w:rsid w:val="53976DC6"/>
    <w:rsid w:val="55333C3E"/>
    <w:rsid w:val="567B4422"/>
    <w:rsid w:val="56BB1F30"/>
    <w:rsid w:val="56FD588F"/>
    <w:rsid w:val="57786A35"/>
    <w:rsid w:val="579B4CD6"/>
    <w:rsid w:val="579F38BC"/>
    <w:rsid w:val="57BAD53E"/>
    <w:rsid w:val="57BBDFF0"/>
    <w:rsid w:val="57BF130D"/>
    <w:rsid w:val="57E73401"/>
    <w:rsid w:val="58BE179A"/>
    <w:rsid w:val="58FF7084"/>
    <w:rsid w:val="59EFB52E"/>
    <w:rsid w:val="59FA0604"/>
    <w:rsid w:val="5B6F06A7"/>
    <w:rsid w:val="5B7B45B6"/>
    <w:rsid w:val="5BADCE37"/>
    <w:rsid w:val="5BBD9657"/>
    <w:rsid w:val="5BDFE792"/>
    <w:rsid w:val="5BEF37B8"/>
    <w:rsid w:val="5BEF5EB7"/>
    <w:rsid w:val="5BFF0C26"/>
    <w:rsid w:val="5C7F4B84"/>
    <w:rsid w:val="5CCB312D"/>
    <w:rsid w:val="5CDEF159"/>
    <w:rsid w:val="5CFA860B"/>
    <w:rsid w:val="5CFEEAAA"/>
    <w:rsid w:val="5CFFF765"/>
    <w:rsid w:val="5D3F7FFB"/>
    <w:rsid w:val="5D6D7B62"/>
    <w:rsid w:val="5D79D0CB"/>
    <w:rsid w:val="5DAC64E4"/>
    <w:rsid w:val="5DC4A3BD"/>
    <w:rsid w:val="5DEF5109"/>
    <w:rsid w:val="5DF9B2F0"/>
    <w:rsid w:val="5DFEEE58"/>
    <w:rsid w:val="5E3DD9ED"/>
    <w:rsid w:val="5E3F3333"/>
    <w:rsid w:val="5ECFA05B"/>
    <w:rsid w:val="5ED8A89B"/>
    <w:rsid w:val="5EDFC872"/>
    <w:rsid w:val="5EEC1174"/>
    <w:rsid w:val="5EEF11F4"/>
    <w:rsid w:val="5EF5AA8F"/>
    <w:rsid w:val="5EFDB597"/>
    <w:rsid w:val="5F280FCB"/>
    <w:rsid w:val="5F3F7E5C"/>
    <w:rsid w:val="5F47F336"/>
    <w:rsid w:val="5F5791F8"/>
    <w:rsid w:val="5F5F2E27"/>
    <w:rsid w:val="5FBB96DE"/>
    <w:rsid w:val="5FCF5B28"/>
    <w:rsid w:val="5FD4F911"/>
    <w:rsid w:val="5FDF8356"/>
    <w:rsid w:val="5FDFE0A6"/>
    <w:rsid w:val="5FE6899E"/>
    <w:rsid w:val="5FF75894"/>
    <w:rsid w:val="5FF8B70C"/>
    <w:rsid w:val="5FFB4B87"/>
    <w:rsid w:val="5FFF1560"/>
    <w:rsid w:val="5FFF44FB"/>
    <w:rsid w:val="5FFFE365"/>
    <w:rsid w:val="636E15A0"/>
    <w:rsid w:val="63EF6B2D"/>
    <w:rsid w:val="64A35F2E"/>
    <w:rsid w:val="64CA39A1"/>
    <w:rsid w:val="653791E2"/>
    <w:rsid w:val="65B21593"/>
    <w:rsid w:val="65CF6B03"/>
    <w:rsid w:val="65FE5C38"/>
    <w:rsid w:val="67CB0CCA"/>
    <w:rsid w:val="67DF23DA"/>
    <w:rsid w:val="67FB672E"/>
    <w:rsid w:val="683F26C7"/>
    <w:rsid w:val="68576911"/>
    <w:rsid w:val="69630ADE"/>
    <w:rsid w:val="69C38525"/>
    <w:rsid w:val="69FF9B65"/>
    <w:rsid w:val="6A4C963B"/>
    <w:rsid w:val="6B6CA6A2"/>
    <w:rsid w:val="6BC5E3C6"/>
    <w:rsid w:val="6BD23D17"/>
    <w:rsid w:val="6BD9F222"/>
    <w:rsid w:val="6BED41ED"/>
    <w:rsid w:val="6BEF6B0C"/>
    <w:rsid w:val="6BFF1D4E"/>
    <w:rsid w:val="6C4A05C8"/>
    <w:rsid w:val="6C60BFBC"/>
    <w:rsid w:val="6C7F003F"/>
    <w:rsid w:val="6CDD182B"/>
    <w:rsid w:val="6CF8175C"/>
    <w:rsid w:val="6D3B1A89"/>
    <w:rsid w:val="6D3F6A34"/>
    <w:rsid w:val="6D967012"/>
    <w:rsid w:val="6D9F22BD"/>
    <w:rsid w:val="6DBFA60C"/>
    <w:rsid w:val="6E5E64C1"/>
    <w:rsid w:val="6E6B786A"/>
    <w:rsid w:val="6E7E544E"/>
    <w:rsid w:val="6EBD5D75"/>
    <w:rsid w:val="6EBDD719"/>
    <w:rsid w:val="6EDB2ECA"/>
    <w:rsid w:val="6EDE5127"/>
    <w:rsid w:val="6EEF0830"/>
    <w:rsid w:val="6EF33C74"/>
    <w:rsid w:val="6F3934E9"/>
    <w:rsid w:val="6F67F4F5"/>
    <w:rsid w:val="6F6E0F11"/>
    <w:rsid w:val="6F6ECBF0"/>
    <w:rsid w:val="6F7C3CF8"/>
    <w:rsid w:val="6F7F9B68"/>
    <w:rsid w:val="6FAF4C43"/>
    <w:rsid w:val="6FBE1419"/>
    <w:rsid w:val="6FBF1ADC"/>
    <w:rsid w:val="6FCE428D"/>
    <w:rsid w:val="6FD6C28A"/>
    <w:rsid w:val="6FDD177F"/>
    <w:rsid w:val="6FDF837E"/>
    <w:rsid w:val="6FE78343"/>
    <w:rsid w:val="6FEB8EA7"/>
    <w:rsid w:val="6FEC0827"/>
    <w:rsid w:val="6FEE0016"/>
    <w:rsid w:val="6FEF6C01"/>
    <w:rsid w:val="6FF377EC"/>
    <w:rsid w:val="6FFBA190"/>
    <w:rsid w:val="6FFF2094"/>
    <w:rsid w:val="6FFF2D8A"/>
    <w:rsid w:val="6FFF3DFF"/>
    <w:rsid w:val="6FFF857D"/>
    <w:rsid w:val="706B6B92"/>
    <w:rsid w:val="714D6E16"/>
    <w:rsid w:val="71BF4EC2"/>
    <w:rsid w:val="71CF0E92"/>
    <w:rsid w:val="72734D90"/>
    <w:rsid w:val="727FDA2A"/>
    <w:rsid w:val="735F183A"/>
    <w:rsid w:val="73DBCA47"/>
    <w:rsid w:val="73EA868E"/>
    <w:rsid w:val="73F68194"/>
    <w:rsid w:val="73F785A2"/>
    <w:rsid w:val="73F7A5FD"/>
    <w:rsid w:val="7412278C"/>
    <w:rsid w:val="7437A189"/>
    <w:rsid w:val="749E1976"/>
    <w:rsid w:val="753F493C"/>
    <w:rsid w:val="754C827E"/>
    <w:rsid w:val="757EC010"/>
    <w:rsid w:val="757F732A"/>
    <w:rsid w:val="75D31191"/>
    <w:rsid w:val="75D57616"/>
    <w:rsid w:val="75E92AB6"/>
    <w:rsid w:val="75EF5F39"/>
    <w:rsid w:val="75F941AF"/>
    <w:rsid w:val="75FE596C"/>
    <w:rsid w:val="75FF0063"/>
    <w:rsid w:val="75FFA348"/>
    <w:rsid w:val="760F041F"/>
    <w:rsid w:val="769F8198"/>
    <w:rsid w:val="76A55AF0"/>
    <w:rsid w:val="76BF1DB0"/>
    <w:rsid w:val="76DF7B02"/>
    <w:rsid w:val="76E772BB"/>
    <w:rsid w:val="775ED1B5"/>
    <w:rsid w:val="776A6E37"/>
    <w:rsid w:val="7773AFD4"/>
    <w:rsid w:val="779F6A13"/>
    <w:rsid w:val="77BEE593"/>
    <w:rsid w:val="77BFDC8F"/>
    <w:rsid w:val="77CD4E21"/>
    <w:rsid w:val="77CF0B1B"/>
    <w:rsid w:val="77EE305F"/>
    <w:rsid w:val="77EF037D"/>
    <w:rsid w:val="77F26B0E"/>
    <w:rsid w:val="77F5B48C"/>
    <w:rsid w:val="77F736EE"/>
    <w:rsid w:val="77FA962D"/>
    <w:rsid w:val="77FAC2B4"/>
    <w:rsid w:val="77FB132B"/>
    <w:rsid w:val="77FB204C"/>
    <w:rsid w:val="77FD40C7"/>
    <w:rsid w:val="77FDA79E"/>
    <w:rsid w:val="77FF34AC"/>
    <w:rsid w:val="783F64A7"/>
    <w:rsid w:val="78EC69B3"/>
    <w:rsid w:val="78FA0E2A"/>
    <w:rsid w:val="7904082E"/>
    <w:rsid w:val="795F19DC"/>
    <w:rsid w:val="79B5A065"/>
    <w:rsid w:val="79CA8060"/>
    <w:rsid w:val="79E7B28D"/>
    <w:rsid w:val="79EDE4B8"/>
    <w:rsid w:val="79F10B24"/>
    <w:rsid w:val="79F7E88D"/>
    <w:rsid w:val="7A2F5E64"/>
    <w:rsid w:val="7A671EA7"/>
    <w:rsid w:val="7A7B6FB1"/>
    <w:rsid w:val="7A7FA240"/>
    <w:rsid w:val="7A7FAF19"/>
    <w:rsid w:val="7ABB8E22"/>
    <w:rsid w:val="7ADC9CFE"/>
    <w:rsid w:val="7AEE3B96"/>
    <w:rsid w:val="7AFA21C8"/>
    <w:rsid w:val="7AFA7B63"/>
    <w:rsid w:val="7B39B7BD"/>
    <w:rsid w:val="7B3CB5BD"/>
    <w:rsid w:val="7B471502"/>
    <w:rsid w:val="7B577E00"/>
    <w:rsid w:val="7B6FB359"/>
    <w:rsid w:val="7B765F8F"/>
    <w:rsid w:val="7B7A5A7A"/>
    <w:rsid w:val="7BB741FA"/>
    <w:rsid w:val="7BB7716D"/>
    <w:rsid w:val="7BB9E2C7"/>
    <w:rsid w:val="7BBBF38F"/>
    <w:rsid w:val="7BDDF4A9"/>
    <w:rsid w:val="7BDF1617"/>
    <w:rsid w:val="7BDFDF37"/>
    <w:rsid w:val="7BE2CEDE"/>
    <w:rsid w:val="7BE6EEE7"/>
    <w:rsid w:val="7BF30C1A"/>
    <w:rsid w:val="7BF5CCA6"/>
    <w:rsid w:val="7BFBC6B2"/>
    <w:rsid w:val="7BFDA800"/>
    <w:rsid w:val="7BFDDE70"/>
    <w:rsid w:val="7BFF1809"/>
    <w:rsid w:val="7BFF1F05"/>
    <w:rsid w:val="7BFF8CCB"/>
    <w:rsid w:val="7BFFACF7"/>
    <w:rsid w:val="7BFFF8BC"/>
    <w:rsid w:val="7C1BC97A"/>
    <w:rsid w:val="7C2DFE9D"/>
    <w:rsid w:val="7C5603D2"/>
    <w:rsid w:val="7CB95F18"/>
    <w:rsid w:val="7CBCBC35"/>
    <w:rsid w:val="7CCFC89A"/>
    <w:rsid w:val="7CDE007D"/>
    <w:rsid w:val="7CFE041C"/>
    <w:rsid w:val="7D39881A"/>
    <w:rsid w:val="7D3EF57C"/>
    <w:rsid w:val="7D7D7D01"/>
    <w:rsid w:val="7D7F98C9"/>
    <w:rsid w:val="7D9FFC4E"/>
    <w:rsid w:val="7DBA8D30"/>
    <w:rsid w:val="7DBD1FC3"/>
    <w:rsid w:val="7DBE0D54"/>
    <w:rsid w:val="7DD37E21"/>
    <w:rsid w:val="7DD93F05"/>
    <w:rsid w:val="7DDD383A"/>
    <w:rsid w:val="7DDDD185"/>
    <w:rsid w:val="7DEB8E23"/>
    <w:rsid w:val="7DF2C3BD"/>
    <w:rsid w:val="7DF33439"/>
    <w:rsid w:val="7DF3C13B"/>
    <w:rsid w:val="7DF77594"/>
    <w:rsid w:val="7DF98A52"/>
    <w:rsid w:val="7DFA48C0"/>
    <w:rsid w:val="7DFD065A"/>
    <w:rsid w:val="7DFE1300"/>
    <w:rsid w:val="7DFEBD0B"/>
    <w:rsid w:val="7DFF7919"/>
    <w:rsid w:val="7DFFF7F9"/>
    <w:rsid w:val="7E1B54A4"/>
    <w:rsid w:val="7E3E100F"/>
    <w:rsid w:val="7E4CBECD"/>
    <w:rsid w:val="7E7644EF"/>
    <w:rsid w:val="7E7B7386"/>
    <w:rsid w:val="7E7DA46D"/>
    <w:rsid w:val="7E9F0528"/>
    <w:rsid w:val="7EA2D9E9"/>
    <w:rsid w:val="7EADDDBD"/>
    <w:rsid w:val="7EB4C40D"/>
    <w:rsid w:val="7EBB657F"/>
    <w:rsid w:val="7EBC0E8E"/>
    <w:rsid w:val="7EBF7D97"/>
    <w:rsid w:val="7ED73410"/>
    <w:rsid w:val="7ED87F90"/>
    <w:rsid w:val="7EDDE7A8"/>
    <w:rsid w:val="7EEE85DB"/>
    <w:rsid w:val="7EF0A329"/>
    <w:rsid w:val="7EF55172"/>
    <w:rsid w:val="7EFB4C30"/>
    <w:rsid w:val="7EFBD888"/>
    <w:rsid w:val="7EFE1E3F"/>
    <w:rsid w:val="7EFFC441"/>
    <w:rsid w:val="7F0148C5"/>
    <w:rsid w:val="7F1E1D43"/>
    <w:rsid w:val="7F336F8D"/>
    <w:rsid w:val="7F3DC871"/>
    <w:rsid w:val="7F3EED97"/>
    <w:rsid w:val="7F3F84D2"/>
    <w:rsid w:val="7F3FC3E8"/>
    <w:rsid w:val="7F5F5B1C"/>
    <w:rsid w:val="7F5FDF0F"/>
    <w:rsid w:val="7F5FED54"/>
    <w:rsid w:val="7F6F9E0D"/>
    <w:rsid w:val="7F77D9AB"/>
    <w:rsid w:val="7F7E55AB"/>
    <w:rsid w:val="7F7F27CF"/>
    <w:rsid w:val="7F7F7A31"/>
    <w:rsid w:val="7F7FDFF1"/>
    <w:rsid w:val="7F8E551D"/>
    <w:rsid w:val="7F9F20EE"/>
    <w:rsid w:val="7FAA1AE5"/>
    <w:rsid w:val="7FAFC44A"/>
    <w:rsid w:val="7FBB0B2D"/>
    <w:rsid w:val="7FBB9CBF"/>
    <w:rsid w:val="7FBE0C7C"/>
    <w:rsid w:val="7FBF5EAA"/>
    <w:rsid w:val="7FBFF8E6"/>
    <w:rsid w:val="7FBFFD4E"/>
    <w:rsid w:val="7FCDFAFD"/>
    <w:rsid w:val="7FCF214F"/>
    <w:rsid w:val="7FD729BA"/>
    <w:rsid w:val="7FD75F23"/>
    <w:rsid w:val="7FD7BDD6"/>
    <w:rsid w:val="7FD7DE40"/>
    <w:rsid w:val="7FDB18E9"/>
    <w:rsid w:val="7FDB19E6"/>
    <w:rsid w:val="7FDD137C"/>
    <w:rsid w:val="7FDD1E00"/>
    <w:rsid w:val="7FDD8625"/>
    <w:rsid w:val="7FDF266F"/>
    <w:rsid w:val="7FDF27B4"/>
    <w:rsid w:val="7FDF567C"/>
    <w:rsid w:val="7FDF58C9"/>
    <w:rsid w:val="7FDF9DE8"/>
    <w:rsid w:val="7FE3EA65"/>
    <w:rsid w:val="7FED09AB"/>
    <w:rsid w:val="7FED4CF0"/>
    <w:rsid w:val="7FEE85E5"/>
    <w:rsid w:val="7FEF03BC"/>
    <w:rsid w:val="7FEF0F6B"/>
    <w:rsid w:val="7FEF3F8B"/>
    <w:rsid w:val="7FEF557B"/>
    <w:rsid w:val="7FEFC318"/>
    <w:rsid w:val="7FEFDFA1"/>
    <w:rsid w:val="7FF3D690"/>
    <w:rsid w:val="7FF45408"/>
    <w:rsid w:val="7FF86B6C"/>
    <w:rsid w:val="7FF9F129"/>
    <w:rsid w:val="7FFB00F7"/>
    <w:rsid w:val="7FFB8162"/>
    <w:rsid w:val="7FFB8637"/>
    <w:rsid w:val="7FFB8A47"/>
    <w:rsid w:val="7FFB8A9E"/>
    <w:rsid w:val="7FFBABBB"/>
    <w:rsid w:val="7FFBF52A"/>
    <w:rsid w:val="7FFCABEA"/>
    <w:rsid w:val="7FFD76C8"/>
    <w:rsid w:val="7FFD8C59"/>
    <w:rsid w:val="7FFDFA78"/>
    <w:rsid w:val="7FFE834D"/>
    <w:rsid w:val="7FFE987E"/>
    <w:rsid w:val="7FFEA0E0"/>
    <w:rsid w:val="7FFF1497"/>
    <w:rsid w:val="7FFF87D9"/>
    <w:rsid w:val="7FFF8C91"/>
    <w:rsid w:val="7FFF9C00"/>
    <w:rsid w:val="7FFFA18F"/>
    <w:rsid w:val="7FFFA58C"/>
    <w:rsid w:val="86FB9C14"/>
    <w:rsid w:val="8D5B39E0"/>
    <w:rsid w:val="8F7FD5A4"/>
    <w:rsid w:val="8FA75752"/>
    <w:rsid w:val="8FB2D864"/>
    <w:rsid w:val="8FBDF6BA"/>
    <w:rsid w:val="92DD81B6"/>
    <w:rsid w:val="92DFC48C"/>
    <w:rsid w:val="937949B0"/>
    <w:rsid w:val="957F665F"/>
    <w:rsid w:val="95DF16CA"/>
    <w:rsid w:val="96BF5A03"/>
    <w:rsid w:val="97F4A8AB"/>
    <w:rsid w:val="99BFD60D"/>
    <w:rsid w:val="99F33EB7"/>
    <w:rsid w:val="9AF8A015"/>
    <w:rsid w:val="9B7FF51D"/>
    <w:rsid w:val="9BB757CC"/>
    <w:rsid w:val="9BBAC237"/>
    <w:rsid w:val="9DB1500B"/>
    <w:rsid w:val="9DBFAD0F"/>
    <w:rsid w:val="9DF571CC"/>
    <w:rsid w:val="9E3A10E2"/>
    <w:rsid w:val="9E7F79C8"/>
    <w:rsid w:val="9EFEA0D5"/>
    <w:rsid w:val="9F5FBCD3"/>
    <w:rsid w:val="9F759B36"/>
    <w:rsid w:val="9FD67234"/>
    <w:rsid w:val="9FE70F39"/>
    <w:rsid w:val="9FE99874"/>
    <w:rsid w:val="9FF741C4"/>
    <w:rsid w:val="9FFB04CD"/>
    <w:rsid w:val="9FFB25D2"/>
    <w:rsid w:val="9FFDC675"/>
    <w:rsid w:val="A3BD2425"/>
    <w:rsid w:val="A3EF6136"/>
    <w:rsid w:val="A797A428"/>
    <w:rsid w:val="A7BE52F9"/>
    <w:rsid w:val="A7BFB508"/>
    <w:rsid w:val="A9ED769C"/>
    <w:rsid w:val="A9FFA074"/>
    <w:rsid w:val="AB0DDF05"/>
    <w:rsid w:val="AB6F6A9B"/>
    <w:rsid w:val="ABBD0AAB"/>
    <w:rsid w:val="ABBE380D"/>
    <w:rsid w:val="ABDD988D"/>
    <w:rsid w:val="ABEBEBEC"/>
    <w:rsid w:val="ABFB1229"/>
    <w:rsid w:val="ABFBC242"/>
    <w:rsid w:val="ABFDB985"/>
    <w:rsid w:val="AD1B5A9C"/>
    <w:rsid w:val="ADB38F5B"/>
    <w:rsid w:val="ADDDCA12"/>
    <w:rsid w:val="ADED5DE1"/>
    <w:rsid w:val="ADF0AF41"/>
    <w:rsid w:val="AEEB062D"/>
    <w:rsid w:val="AEFC9B64"/>
    <w:rsid w:val="AF6FBF69"/>
    <w:rsid w:val="AF7EFC22"/>
    <w:rsid w:val="AFD21E59"/>
    <w:rsid w:val="AFFB06F3"/>
    <w:rsid w:val="AFFC0209"/>
    <w:rsid w:val="AFFDFAE4"/>
    <w:rsid w:val="B27E5BB8"/>
    <w:rsid w:val="B39DD0C7"/>
    <w:rsid w:val="B3EE5903"/>
    <w:rsid w:val="B3F7E840"/>
    <w:rsid w:val="B4A584FB"/>
    <w:rsid w:val="B55DA63B"/>
    <w:rsid w:val="B57AE20D"/>
    <w:rsid w:val="B597AA63"/>
    <w:rsid w:val="B5BFCA97"/>
    <w:rsid w:val="B5E57CB0"/>
    <w:rsid w:val="B636EA28"/>
    <w:rsid w:val="B64D873B"/>
    <w:rsid w:val="B6B393CD"/>
    <w:rsid w:val="B6F78617"/>
    <w:rsid w:val="B77738D6"/>
    <w:rsid w:val="B77B12E8"/>
    <w:rsid w:val="B77FB727"/>
    <w:rsid w:val="B7A78A72"/>
    <w:rsid w:val="B7EA5483"/>
    <w:rsid w:val="B7EFBF53"/>
    <w:rsid w:val="B7FEFA41"/>
    <w:rsid w:val="B8F705F6"/>
    <w:rsid w:val="B97308BC"/>
    <w:rsid w:val="B9DFA4B0"/>
    <w:rsid w:val="B9EDC781"/>
    <w:rsid w:val="BA7B23C6"/>
    <w:rsid w:val="BAD5F5A6"/>
    <w:rsid w:val="BADF6209"/>
    <w:rsid w:val="BAFF4934"/>
    <w:rsid w:val="BB5C3E5D"/>
    <w:rsid w:val="BB7DB0BF"/>
    <w:rsid w:val="BB7EB521"/>
    <w:rsid w:val="BBA78DA4"/>
    <w:rsid w:val="BBF92374"/>
    <w:rsid w:val="BBFBFF1A"/>
    <w:rsid w:val="BBFFC0E2"/>
    <w:rsid w:val="BC7CA118"/>
    <w:rsid w:val="BCBF92BE"/>
    <w:rsid w:val="BCFD7538"/>
    <w:rsid w:val="BDC7AAC1"/>
    <w:rsid w:val="BDDF7950"/>
    <w:rsid w:val="BDF761F7"/>
    <w:rsid w:val="BDFB470A"/>
    <w:rsid w:val="BDFE652D"/>
    <w:rsid w:val="BDFF2C7B"/>
    <w:rsid w:val="BDFF55B5"/>
    <w:rsid w:val="BDFFF291"/>
    <w:rsid w:val="BE5F9DCD"/>
    <w:rsid w:val="BE7E3825"/>
    <w:rsid w:val="BE7F60F5"/>
    <w:rsid w:val="BEDF57B4"/>
    <w:rsid w:val="BEF7DB9F"/>
    <w:rsid w:val="BF31B731"/>
    <w:rsid w:val="BF37B95F"/>
    <w:rsid w:val="BF3FF7A4"/>
    <w:rsid w:val="BF5F70BF"/>
    <w:rsid w:val="BF7B1628"/>
    <w:rsid w:val="BF7DA508"/>
    <w:rsid w:val="BFA748E9"/>
    <w:rsid w:val="BFB711F9"/>
    <w:rsid w:val="BFBD0DC5"/>
    <w:rsid w:val="BFBF4901"/>
    <w:rsid w:val="BFBFA550"/>
    <w:rsid w:val="BFD3AADB"/>
    <w:rsid w:val="BFD8A873"/>
    <w:rsid w:val="BFD96EFF"/>
    <w:rsid w:val="BFDB20B0"/>
    <w:rsid w:val="BFDD5864"/>
    <w:rsid w:val="BFDF21C8"/>
    <w:rsid w:val="BFDFA5A5"/>
    <w:rsid w:val="BFEF57D2"/>
    <w:rsid w:val="BFF1BD16"/>
    <w:rsid w:val="BFF53F4B"/>
    <w:rsid w:val="BFFA0BE5"/>
    <w:rsid w:val="BFFF0A31"/>
    <w:rsid w:val="BFFFD7DC"/>
    <w:rsid w:val="C3BFAE4F"/>
    <w:rsid w:val="C5D73EC2"/>
    <w:rsid w:val="C5DA1C04"/>
    <w:rsid w:val="C5F9D217"/>
    <w:rsid w:val="C6BCD4A5"/>
    <w:rsid w:val="C79F5C52"/>
    <w:rsid w:val="C7D6A2CF"/>
    <w:rsid w:val="C7EF9B78"/>
    <w:rsid w:val="C7F98AA6"/>
    <w:rsid w:val="C8F32D58"/>
    <w:rsid w:val="C9771839"/>
    <w:rsid w:val="C9F70969"/>
    <w:rsid w:val="C9F8EE39"/>
    <w:rsid w:val="CA7FB63E"/>
    <w:rsid w:val="CB8F241C"/>
    <w:rsid w:val="CBEF0362"/>
    <w:rsid w:val="CD3F6830"/>
    <w:rsid w:val="CDB7F658"/>
    <w:rsid w:val="CDF93B63"/>
    <w:rsid w:val="CDFD87B2"/>
    <w:rsid w:val="CEBF9ABD"/>
    <w:rsid w:val="CEF4951D"/>
    <w:rsid w:val="CF5BF705"/>
    <w:rsid w:val="CF75B82C"/>
    <w:rsid w:val="CFBFF87E"/>
    <w:rsid w:val="CFD362E2"/>
    <w:rsid w:val="CFD5475E"/>
    <w:rsid w:val="CFFFD4F3"/>
    <w:rsid w:val="D1FC006A"/>
    <w:rsid w:val="D2FE510D"/>
    <w:rsid w:val="D2FF75BE"/>
    <w:rsid w:val="D36F2344"/>
    <w:rsid w:val="D3C34FA4"/>
    <w:rsid w:val="D3DD4027"/>
    <w:rsid w:val="D40EC373"/>
    <w:rsid w:val="D4DF3B35"/>
    <w:rsid w:val="D5FF6EB5"/>
    <w:rsid w:val="D6331E13"/>
    <w:rsid w:val="D68FCBED"/>
    <w:rsid w:val="D69B83AE"/>
    <w:rsid w:val="D6BED123"/>
    <w:rsid w:val="D6FF5DEE"/>
    <w:rsid w:val="D747A058"/>
    <w:rsid w:val="D771BFA2"/>
    <w:rsid w:val="D7795264"/>
    <w:rsid w:val="D77E213C"/>
    <w:rsid w:val="D7AE25F9"/>
    <w:rsid w:val="D7B5C2B9"/>
    <w:rsid w:val="D7DF315B"/>
    <w:rsid w:val="D7ED8B06"/>
    <w:rsid w:val="D7FB3D70"/>
    <w:rsid w:val="D7FE6877"/>
    <w:rsid w:val="D9B29E31"/>
    <w:rsid w:val="D9EED3EF"/>
    <w:rsid w:val="DAEF923E"/>
    <w:rsid w:val="DAFE0FB7"/>
    <w:rsid w:val="DBBF8DFC"/>
    <w:rsid w:val="DBDB98A2"/>
    <w:rsid w:val="DBFD2350"/>
    <w:rsid w:val="DBFDF0ED"/>
    <w:rsid w:val="DBFE467D"/>
    <w:rsid w:val="DBFF4308"/>
    <w:rsid w:val="DCA939F7"/>
    <w:rsid w:val="DCBEC5DC"/>
    <w:rsid w:val="DCFEB485"/>
    <w:rsid w:val="DD5B0CB1"/>
    <w:rsid w:val="DD75F4F1"/>
    <w:rsid w:val="DD7F07AD"/>
    <w:rsid w:val="DDBBFBC6"/>
    <w:rsid w:val="DDCA3444"/>
    <w:rsid w:val="DDD6377F"/>
    <w:rsid w:val="DDDD3E0E"/>
    <w:rsid w:val="DDE1F9FC"/>
    <w:rsid w:val="DDEF5D2A"/>
    <w:rsid w:val="DE5FC366"/>
    <w:rsid w:val="DE7D501F"/>
    <w:rsid w:val="DEB7441B"/>
    <w:rsid w:val="DEF5CA33"/>
    <w:rsid w:val="DEF8EF07"/>
    <w:rsid w:val="DEFF52FF"/>
    <w:rsid w:val="DF1572BF"/>
    <w:rsid w:val="DF1D6255"/>
    <w:rsid w:val="DF2FBF1C"/>
    <w:rsid w:val="DF3F6463"/>
    <w:rsid w:val="DF4F86CC"/>
    <w:rsid w:val="DF67F990"/>
    <w:rsid w:val="DF6F339C"/>
    <w:rsid w:val="DF7528C2"/>
    <w:rsid w:val="DF77513F"/>
    <w:rsid w:val="DF7DC521"/>
    <w:rsid w:val="DF7F33E1"/>
    <w:rsid w:val="DF7F9498"/>
    <w:rsid w:val="DF9788A7"/>
    <w:rsid w:val="DFAF58AB"/>
    <w:rsid w:val="DFB1B8A3"/>
    <w:rsid w:val="DFBFF96C"/>
    <w:rsid w:val="DFDD3374"/>
    <w:rsid w:val="DFE501F5"/>
    <w:rsid w:val="DFF7387D"/>
    <w:rsid w:val="DFFB1D97"/>
    <w:rsid w:val="DFFE2D77"/>
    <w:rsid w:val="DFFE45F5"/>
    <w:rsid w:val="DFFEAFBD"/>
    <w:rsid w:val="DFFF447B"/>
    <w:rsid w:val="DFFFB7F2"/>
    <w:rsid w:val="E0DB0AF0"/>
    <w:rsid w:val="E16B787C"/>
    <w:rsid w:val="E35CFD8F"/>
    <w:rsid w:val="E36D6607"/>
    <w:rsid w:val="E3730E89"/>
    <w:rsid w:val="E3DBDA86"/>
    <w:rsid w:val="E3FDF047"/>
    <w:rsid w:val="E53D4ABC"/>
    <w:rsid w:val="E55F8587"/>
    <w:rsid w:val="E5930338"/>
    <w:rsid w:val="E59F42F3"/>
    <w:rsid w:val="E5BEC3BD"/>
    <w:rsid w:val="E63D7FC4"/>
    <w:rsid w:val="E6BC0CFC"/>
    <w:rsid w:val="E6D37B25"/>
    <w:rsid w:val="E6F6D80B"/>
    <w:rsid w:val="E774804F"/>
    <w:rsid w:val="E79D13F8"/>
    <w:rsid w:val="E7BF8D3A"/>
    <w:rsid w:val="E7D03271"/>
    <w:rsid w:val="E7F1D4EF"/>
    <w:rsid w:val="E7FB82AF"/>
    <w:rsid w:val="E7FF0835"/>
    <w:rsid w:val="E7FFA1B9"/>
    <w:rsid w:val="E8DF7EF2"/>
    <w:rsid w:val="E9FBBDF5"/>
    <w:rsid w:val="EAE7579C"/>
    <w:rsid w:val="EB771B0A"/>
    <w:rsid w:val="EB8EA098"/>
    <w:rsid w:val="EBAE5263"/>
    <w:rsid w:val="EBBDAC19"/>
    <w:rsid w:val="EBBFE141"/>
    <w:rsid w:val="EBDB53F0"/>
    <w:rsid w:val="EBEBA06D"/>
    <w:rsid w:val="EBF97217"/>
    <w:rsid w:val="EBFE74A5"/>
    <w:rsid w:val="EBFEFEB8"/>
    <w:rsid w:val="EBFFA6C0"/>
    <w:rsid w:val="EC77D284"/>
    <w:rsid w:val="EC8F1EC8"/>
    <w:rsid w:val="ECED0311"/>
    <w:rsid w:val="ED3B7DC5"/>
    <w:rsid w:val="ED3FAAE9"/>
    <w:rsid w:val="EDDF1C62"/>
    <w:rsid w:val="EDF79978"/>
    <w:rsid w:val="EDFF9545"/>
    <w:rsid w:val="EDFFB869"/>
    <w:rsid w:val="EEE9E96A"/>
    <w:rsid w:val="EEEC07BD"/>
    <w:rsid w:val="EEF1C0EC"/>
    <w:rsid w:val="EEFB9A58"/>
    <w:rsid w:val="EF1E3EBF"/>
    <w:rsid w:val="EF2B8696"/>
    <w:rsid w:val="EF2F596F"/>
    <w:rsid w:val="EF3FDF60"/>
    <w:rsid w:val="EF471AD2"/>
    <w:rsid w:val="EF5DBA7C"/>
    <w:rsid w:val="EF674395"/>
    <w:rsid w:val="EF6F9338"/>
    <w:rsid w:val="EF7E3338"/>
    <w:rsid w:val="EF7FCE09"/>
    <w:rsid w:val="EF7FD852"/>
    <w:rsid w:val="EF85EB52"/>
    <w:rsid w:val="EFCE04D6"/>
    <w:rsid w:val="EFD6BF64"/>
    <w:rsid w:val="EFDD5E76"/>
    <w:rsid w:val="EFDDC746"/>
    <w:rsid w:val="EFDE1BF7"/>
    <w:rsid w:val="EFF74A15"/>
    <w:rsid w:val="EFFAB66D"/>
    <w:rsid w:val="EFFADF58"/>
    <w:rsid w:val="EFFE7D54"/>
    <w:rsid w:val="EFFF0B07"/>
    <w:rsid w:val="F137CD4D"/>
    <w:rsid w:val="F17FCCB4"/>
    <w:rsid w:val="F1DBE692"/>
    <w:rsid w:val="F1DF9D02"/>
    <w:rsid w:val="F1EF20BD"/>
    <w:rsid w:val="F2E1F9D4"/>
    <w:rsid w:val="F2E9CAB9"/>
    <w:rsid w:val="F2F29AA9"/>
    <w:rsid w:val="F32D3025"/>
    <w:rsid w:val="F375CB1B"/>
    <w:rsid w:val="F37C7DC4"/>
    <w:rsid w:val="F3BF2535"/>
    <w:rsid w:val="F3F38CE5"/>
    <w:rsid w:val="F3FB37F7"/>
    <w:rsid w:val="F43FB792"/>
    <w:rsid w:val="F44B21E2"/>
    <w:rsid w:val="F47E6069"/>
    <w:rsid w:val="F53F75E0"/>
    <w:rsid w:val="F59FAE2B"/>
    <w:rsid w:val="F5B77D23"/>
    <w:rsid w:val="F5FE5432"/>
    <w:rsid w:val="F5FF7069"/>
    <w:rsid w:val="F5FFBD5B"/>
    <w:rsid w:val="F698773B"/>
    <w:rsid w:val="F6AB64FE"/>
    <w:rsid w:val="F6F3E3CA"/>
    <w:rsid w:val="F6F8BBF6"/>
    <w:rsid w:val="F7274028"/>
    <w:rsid w:val="F739350D"/>
    <w:rsid w:val="F73B1A2F"/>
    <w:rsid w:val="F76D42C1"/>
    <w:rsid w:val="F76EB5EA"/>
    <w:rsid w:val="F76FA8C0"/>
    <w:rsid w:val="F775799A"/>
    <w:rsid w:val="F777EAF2"/>
    <w:rsid w:val="F77DC593"/>
    <w:rsid w:val="F7880819"/>
    <w:rsid w:val="F79FD96D"/>
    <w:rsid w:val="F7B7066C"/>
    <w:rsid w:val="F7BFB2F5"/>
    <w:rsid w:val="F7C6835B"/>
    <w:rsid w:val="F7D7110D"/>
    <w:rsid w:val="F7DFDF67"/>
    <w:rsid w:val="F7E7AF9C"/>
    <w:rsid w:val="F7E84E40"/>
    <w:rsid w:val="F7EB2B39"/>
    <w:rsid w:val="F7EF1FEB"/>
    <w:rsid w:val="F7EFA9D0"/>
    <w:rsid w:val="F7F67AFC"/>
    <w:rsid w:val="F7F6BFCF"/>
    <w:rsid w:val="F7F77000"/>
    <w:rsid w:val="F7FB010C"/>
    <w:rsid w:val="F7FD624D"/>
    <w:rsid w:val="F7FECC8D"/>
    <w:rsid w:val="F8AED043"/>
    <w:rsid w:val="F8D33E44"/>
    <w:rsid w:val="F9B1F7E6"/>
    <w:rsid w:val="F9DB518F"/>
    <w:rsid w:val="F9F761CD"/>
    <w:rsid w:val="F9FB4122"/>
    <w:rsid w:val="F9FD56F4"/>
    <w:rsid w:val="F9FF44FE"/>
    <w:rsid w:val="F9FFCC09"/>
    <w:rsid w:val="FA17ED58"/>
    <w:rsid w:val="FA7CFAD9"/>
    <w:rsid w:val="FAEB9602"/>
    <w:rsid w:val="FAEE32A0"/>
    <w:rsid w:val="FAF62CFB"/>
    <w:rsid w:val="FAFB4A75"/>
    <w:rsid w:val="FAFE3800"/>
    <w:rsid w:val="FB2D9D7B"/>
    <w:rsid w:val="FB5F261E"/>
    <w:rsid w:val="FB6DE74C"/>
    <w:rsid w:val="FB6FFE05"/>
    <w:rsid w:val="FB767FB5"/>
    <w:rsid w:val="FB773EBE"/>
    <w:rsid w:val="FB7BB5D2"/>
    <w:rsid w:val="FB7F042D"/>
    <w:rsid w:val="FB7F49A0"/>
    <w:rsid w:val="FB7F58DD"/>
    <w:rsid w:val="FB9FCC70"/>
    <w:rsid w:val="FB9FEC27"/>
    <w:rsid w:val="FBB458CA"/>
    <w:rsid w:val="FBBAF015"/>
    <w:rsid w:val="FBBF7ED7"/>
    <w:rsid w:val="FBBFE6C3"/>
    <w:rsid w:val="FBD3179D"/>
    <w:rsid w:val="FBE55E44"/>
    <w:rsid w:val="FBEB04C5"/>
    <w:rsid w:val="FBEFAB88"/>
    <w:rsid w:val="FBEFF0EC"/>
    <w:rsid w:val="FBF01D6D"/>
    <w:rsid w:val="FBF7A6DD"/>
    <w:rsid w:val="FBFB42F6"/>
    <w:rsid w:val="FBFD8EA8"/>
    <w:rsid w:val="FBFDA844"/>
    <w:rsid w:val="FBFE270C"/>
    <w:rsid w:val="FBFE8FB4"/>
    <w:rsid w:val="FBFF0234"/>
    <w:rsid w:val="FBFF25D5"/>
    <w:rsid w:val="FBFF5432"/>
    <w:rsid w:val="FC353117"/>
    <w:rsid w:val="FC5FA115"/>
    <w:rsid w:val="FC9D59F2"/>
    <w:rsid w:val="FC9F120E"/>
    <w:rsid w:val="FCD64A4A"/>
    <w:rsid w:val="FCEF08A5"/>
    <w:rsid w:val="FCF10CC7"/>
    <w:rsid w:val="FCFCA76C"/>
    <w:rsid w:val="FD357706"/>
    <w:rsid w:val="FD5FF47D"/>
    <w:rsid w:val="FD7DB18F"/>
    <w:rsid w:val="FD97C868"/>
    <w:rsid w:val="FDA32149"/>
    <w:rsid w:val="FDAF7C0C"/>
    <w:rsid w:val="FDB5E8B6"/>
    <w:rsid w:val="FDBB6198"/>
    <w:rsid w:val="FDC34623"/>
    <w:rsid w:val="FDCB097B"/>
    <w:rsid w:val="FDCB2B14"/>
    <w:rsid w:val="FDDDAD51"/>
    <w:rsid w:val="FDDF7983"/>
    <w:rsid w:val="FDE7B6A4"/>
    <w:rsid w:val="FDEA1BC0"/>
    <w:rsid w:val="FDEF69EE"/>
    <w:rsid w:val="FDF98575"/>
    <w:rsid w:val="FDFE194A"/>
    <w:rsid w:val="FDFF1AA9"/>
    <w:rsid w:val="FDFF6AA6"/>
    <w:rsid w:val="FDFFE8FF"/>
    <w:rsid w:val="FE132C4C"/>
    <w:rsid w:val="FE3BC7F4"/>
    <w:rsid w:val="FE3E4656"/>
    <w:rsid w:val="FE3FA135"/>
    <w:rsid w:val="FE734873"/>
    <w:rsid w:val="FE7FDE66"/>
    <w:rsid w:val="FEB4E28E"/>
    <w:rsid w:val="FEDDF009"/>
    <w:rsid w:val="FEEA4908"/>
    <w:rsid w:val="FEEBA74A"/>
    <w:rsid w:val="FEEE7244"/>
    <w:rsid w:val="FEF9C41A"/>
    <w:rsid w:val="FEFE1188"/>
    <w:rsid w:val="FEFE29CC"/>
    <w:rsid w:val="FEFF2B36"/>
    <w:rsid w:val="FEFF7160"/>
    <w:rsid w:val="FEFFAF3E"/>
    <w:rsid w:val="FF1FAAF1"/>
    <w:rsid w:val="FF2CFC0C"/>
    <w:rsid w:val="FF2E56A8"/>
    <w:rsid w:val="FF3E54F9"/>
    <w:rsid w:val="FF47120D"/>
    <w:rsid w:val="FF4C7E16"/>
    <w:rsid w:val="FF5327E7"/>
    <w:rsid w:val="FF6B2257"/>
    <w:rsid w:val="FF70EC90"/>
    <w:rsid w:val="FF781395"/>
    <w:rsid w:val="FF7B12FA"/>
    <w:rsid w:val="FF7B375B"/>
    <w:rsid w:val="FF7CB7EC"/>
    <w:rsid w:val="FF7D0726"/>
    <w:rsid w:val="FF7F8B32"/>
    <w:rsid w:val="FF7FE561"/>
    <w:rsid w:val="FF8F9D24"/>
    <w:rsid w:val="FF974EAF"/>
    <w:rsid w:val="FF9B456F"/>
    <w:rsid w:val="FF9D93A7"/>
    <w:rsid w:val="FF9DF699"/>
    <w:rsid w:val="FF9F85B8"/>
    <w:rsid w:val="FF9FC1BD"/>
    <w:rsid w:val="FF9FFD31"/>
    <w:rsid w:val="FFA506E2"/>
    <w:rsid w:val="FFA7AE62"/>
    <w:rsid w:val="FFAB06E9"/>
    <w:rsid w:val="FFAB34CB"/>
    <w:rsid w:val="FFAB5C35"/>
    <w:rsid w:val="FFAFF42E"/>
    <w:rsid w:val="FFB76CD6"/>
    <w:rsid w:val="FFB772C8"/>
    <w:rsid w:val="FFB7784F"/>
    <w:rsid w:val="FFBAB470"/>
    <w:rsid w:val="FFBAC2C2"/>
    <w:rsid w:val="FFBE5C3A"/>
    <w:rsid w:val="FFBF004E"/>
    <w:rsid w:val="FFBF3BB7"/>
    <w:rsid w:val="FFBF7F8C"/>
    <w:rsid w:val="FFBF9727"/>
    <w:rsid w:val="FFBFFE3A"/>
    <w:rsid w:val="FFD7A5E1"/>
    <w:rsid w:val="FFDE5A36"/>
    <w:rsid w:val="FFDE9E57"/>
    <w:rsid w:val="FFDF18AE"/>
    <w:rsid w:val="FFDFAB11"/>
    <w:rsid w:val="FFDFD16A"/>
    <w:rsid w:val="FFEB43AC"/>
    <w:rsid w:val="FFEFA49B"/>
    <w:rsid w:val="FFEFBCD4"/>
    <w:rsid w:val="FFEFE0D5"/>
    <w:rsid w:val="FFF3D86A"/>
    <w:rsid w:val="FFF5065C"/>
    <w:rsid w:val="FFF51337"/>
    <w:rsid w:val="FFF7220C"/>
    <w:rsid w:val="FFF75C1E"/>
    <w:rsid w:val="FFF7A580"/>
    <w:rsid w:val="FFF98AE7"/>
    <w:rsid w:val="FFFB699E"/>
    <w:rsid w:val="FFFBBE86"/>
    <w:rsid w:val="FFFD0E77"/>
    <w:rsid w:val="FFFD74BD"/>
    <w:rsid w:val="FFFE140B"/>
    <w:rsid w:val="FFFE3152"/>
    <w:rsid w:val="FFFF112E"/>
    <w:rsid w:val="FFFF3DDF"/>
    <w:rsid w:val="FFFF77EA"/>
    <w:rsid w:val="FFFF7B70"/>
    <w:rsid w:val="FFFF9255"/>
    <w:rsid w:val="FFFFC47D"/>
    <w:rsid w:val="FFFFDF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1 Char"/>
    <w:basedOn w:val="15"/>
    <w:link w:val="3"/>
    <w:qFormat/>
    <w:uiPriority w:val="9"/>
    <w:rPr>
      <w:rFonts w:ascii="Times New Roman" w:hAnsi="Times New Roman"/>
      <w:b/>
      <w:bCs/>
      <w:kern w:val="44"/>
      <w:sz w:val="44"/>
      <w:szCs w:val="44"/>
    </w:rPr>
  </w:style>
  <w:style w:type="character" w:customStyle="1" w:styleId="19">
    <w:name w:val="标题 2 Char"/>
    <w:basedOn w:val="15"/>
    <w:link w:val="4"/>
    <w:qFormat/>
    <w:uiPriority w:val="9"/>
    <w:rPr>
      <w:rFonts w:asciiTheme="majorHAnsi" w:hAnsiTheme="majorHAnsi" w:eastAsiaTheme="majorEastAsia" w:cstheme="majorBidi"/>
      <w:b/>
      <w:bCs/>
      <w:kern w:val="2"/>
      <w:sz w:val="32"/>
      <w:szCs w:val="32"/>
    </w:rPr>
  </w:style>
  <w:style w:type="character" w:customStyle="1" w:styleId="20">
    <w:name w:val="标题 3 Char"/>
    <w:basedOn w:val="15"/>
    <w:link w:val="5"/>
    <w:qFormat/>
    <w:uiPriority w:val="9"/>
    <w:rPr>
      <w:rFonts w:ascii="Times New Roman" w:hAnsi="Times New Roman"/>
      <w:b/>
      <w:bCs/>
      <w:kern w:val="2"/>
      <w:sz w:val="32"/>
      <w:szCs w:val="32"/>
    </w:rPr>
  </w:style>
  <w:style w:type="character" w:customStyle="1" w:styleId="21">
    <w:name w:val="Header Char"/>
    <w:basedOn w:val="15"/>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5"/>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5"/>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font01"/>
    <w:basedOn w:val="15"/>
    <w:qFormat/>
    <w:uiPriority w:val="0"/>
    <w:rPr>
      <w:rFonts w:ascii="宋体" w:hAnsi="宋体" w:eastAsia="宋体" w:cs="宋体"/>
      <w:color w:val="000000"/>
      <w:sz w:val="18"/>
      <w:szCs w:val="18"/>
      <w:u w:val="none"/>
    </w:rPr>
  </w:style>
  <w:style w:type="character" w:customStyle="1" w:styleId="36">
    <w:name w:val="font21"/>
    <w:basedOn w:val="15"/>
    <w:qFormat/>
    <w:uiPriority w:val="0"/>
    <w:rPr>
      <w:rFonts w:hint="eastAsia" w:ascii="仿宋_GB2312" w:eastAsia="仿宋_GB2312" w:cs="仿宋_GB2312"/>
      <w:color w:val="000000"/>
      <w:sz w:val="18"/>
      <w:szCs w:val="18"/>
      <w:u w:val="none"/>
    </w:rPr>
  </w:style>
  <w:style w:type="character" w:customStyle="1" w:styleId="37">
    <w:name w:val="font71"/>
    <w:basedOn w:val="15"/>
    <w:qFormat/>
    <w:uiPriority w:val="0"/>
    <w:rPr>
      <w:rFonts w:hint="eastAsia" w:ascii="仿宋_GB2312" w:eastAsia="仿宋_GB2312" w:cs="仿宋_GB2312"/>
      <w:color w:val="000000"/>
      <w:sz w:val="18"/>
      <w:szCs w:val="18"/>
      <w:u w:val="none"/>
    </w:rPr>
  </w:style>
  <w:style w:type="character" w:customStyle="1" w:styleId="38">
    <w:name w:val="font61"/>
    <w:basedOn w:val="15"/>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4138538303493"/>
          <c:y val="0.051150895140665"/>
          <c:w val="0.86181391253302"/>
          <c:h val="0.731550802139037"/>
        </c:manualLayout>
      </c:layout>
      <c:barChart>
        <c:barDir val="col"/>
        <c:grouping val="clustered"/>
        <c:varyColors val="false"/>
        <c:ser>
          <c:idx val="0"/>
          <c:order val="0"/>
          <c:tx>
            <c:strRef>
              <c:f>Sheet1!$A$2</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Sheet1!$B$2:$C$2</c:f>
              <c:numCache>
                <c:formatCode>General</c:formatCode>
                <c:ptCount val="2"/>
                <c:pt idx="0">
                  <c:v>1106.31</c:v>
                </c:pt>
                <c:pt idx="1">
                  <c:v>891.3</c:v>
                </c:pt>
              </c:numCache>
            </c:numRef>
          </c:val>
        </c:ser>
        <c:ser>
          <c:idx val="1"/>
          <c:order val="1"/>
          <c:tx>
            <c:strRef>
              <c:f>Sheet1!$A$3</c:f>
              <c:strCache>
                <c:ptCount val="1"/>
                <c:pt idx="0">
                  <c:v>支出</c:v>
                </c:pt>
              </c:strCache>
            </c:strRef>
          </c:tx>
          <c:spPr>
            <a:solidFill>
              <a:schemeClr val="accent2"/>
            </a:solidFill>
            <a:ln>
              <a:noFill/>
            </a:ln>
            <a:effectLst/>
          </c:spPr>
          <c:invertIfNegative val="false"/>
          <c:dPt>
            <c:idx val="0"/>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Sheet1!$B$3:$C$3</c:f>
              <c:numCache>
                <c:formatCode>General</c:formatCode>
                <c:ptCount val="2"/>
                <c:pt idx="0">
                  <c:v>1106.31</c:v>
                </c:pt>
                <c:pt idx="1">
                  <c:v>891.3</c:v>
                </c:pt>
              </c:numCache>
            </c:numRef>
          </c:val>
        </c:ser>
        <c:dLbls>
          <c:showLegendKey val="false"/>
          <c:showVal val="false"/>
          <c:showCatName val="false"/>
          <c:showSerName val="false"/>
          <c:showPercent val="false"/>
          <c:showBubbleSize val="false"/>
        </c:dLbls>
        <c:gapWidth val="150"/>
        <c:overlap val="0"/>
        <c:axId val="150504767"/>
        <c:axId val="759936019"/>
      </c:barChart>
      <c:catAx>
        <c:axId val="15050476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9936019"/>
        <c:crosses val="autoZero"/>
        <c:auto val="true"/>
        <c:lblAlgn val="ctr"/>
        <c:lblOffset val="100"/>
        <c:noMultiLvlLbl val="false"/>
      </c:catAx>
      <c:valAx>
        <c:axId val="75993601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050476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一般公共预算财政拨款收入</c:v>
                </c:pt>
                <c:pt idx="1">
                  <c:v>政府性基金预算财政拨款收入</c:v>
                </c:pt>
                <c:pt idx="2">
                  <c:v>其他收入</c:v>
                </c:pt>
              </c:strCache>
            </c:strRef>
          </c:cat>
          <c:val>
            <c:numRef>
              <c:extLst>
                <c:ext xmlns:c15="http://schemas.microsoft.com/office/drawing/2012/chart" uri="{02D57815-91ED-43cb-92C2-25804820EDAC}">
                  <c15:fullRef>
                    <c15:sqref>Sheet1!$B$2:$B$5</c15:sqref>
                  </c15:fullRef>
                </c:ext>
              </c:extLst>
              <c:f>Sheet1!$B$2:$B$4</c:f>
              <c:numCache>
                <c:formatCode>0.00%</c:formatCode>
                <c:ptCount val="3"/>
                <c:pt idx="0">
                  <c:v>0.8028</c:v>
                </c:pt>
                <c:pt idx="1">
                  <c:v>0.182</c:v>
                </c:pt>
                <c:pt idx="2">
                  <c:v>0.0152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0.617</c:v>
                </c:pt>
                <c:pt idx="1">
                  <c:v>0.383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2"/>
        <c:delete val="true"/>
      </c:legendEntry>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2021年</c:v>
                </c:pt>
                <c:pt idx="1">
                  <c:v>2022年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910.1</c:v>
                </c:pt>
                <c:pt idx="1">
                  <c:v>836.47</c:v>
                </c:pt>
              </c:numCache>
            </c:numRef>
          </c:val>
        </c:ser>
        <c:ser>
          <c:idx val="1"/>
          <c:order val="1"/>
          <c:tx>
            <c:strRef>
              <c:f>Sheet1!$C$1</c:f>
              <c:strCache>
                <c:ptCount val="1"/>
                <c:pt idx="0">
                  <c:v>财政拨款支出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2021年</c:v>
                </c:pt>
                <c:pt idx="1">
                  <c:v>2022年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910.1</c:v>
                </c:pt>
                <c:pt idx="1">
                  <c:v>836.47</c:v>
                </c:pt>
              </c:numCache>
            </c:numRef>
          </c:val>
        </c:ser>
        <c:dLbls>
          <c:showLegendKey val="false"/>
          <c:showVal val="false"/>
          <c:showCatName val="false"/>
          <c:showSerName val="false"/>
          <c:showPercent val="false"/>
          <c:showBubbleSize val="false"/>
        </c:dLbls>
        <c:gapWidth val="219"/>
        <c:overlap val="-27"/>
        <c:axId val="867713828"/>
        <c:axId val="92282872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Sheet1!$A$2:$A$5</c15:sqref>
                        </c15:fullRef>
                        <c15:formulaRef>
                          <c15:sqref>Sheet1!$A$2:$A$3</c15:sqref>
                        </c15:formulaRef>
                      </c:ext>
                    </c:extLst>
                    <c:strCache>
                      <c:ptCount val="2"/>
                      <c:pt idx="0">
                        <c:v>2021年</c:v>
                      </c:pt>
                      <c:pt idx="1">
                        <c:v>2022年</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86771382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2828720"/>
        <c:crosses val="autoZero"/>
        <c:auto val="true"/>
        <c:lblAlgn val="ctr"/>
        <c:lblOffset val="100"/>
        <c:noMultiLvlLbl val="false"/>
      </c:catAx>
      <c:valAx>
        <c:axId val="92282872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677138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2021年</c:v>
                </c:pt>
                <c:pt idx="1">
                  <c:v>2022年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583.49</c:v>
                </c:pt>
                <c:pt idx="1">
                  <c:v>664.2</c:v>
                </c:pt>
              </c:numCache>
            </c:numRef>
          </c:val>
        </c:ser>
        <c:dLbls>
          <c:showLegendKey val="false"/>
          <c:showVal val="false"/>
          <c:showCatName val="false"/>
          <c:showSerName val="false"/>
          <c:showPercent val="false"/>
          <c:showBubbleSize val="false"/>
        </c:dLbls>
        <c:gapWidth val="219"/>
        <c:overlap val="-27"/>
        <c:axId val="594462008"/>
        <c:axId val="50944853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false"/>
                <c:dLbls>
                  <c:delete val="true"/>
                </c:dLbls>
                <c:cat>
                  <c:strRef>
                    <c:extLst>
                      <c:ext uri="{02D57815-91ED-43cb-92C2-25804820EDAC}">
                        <c15:fullRef>
                          <c15:sqref>Sheet1!$A$2:$A$5</c15:sqref>
                        </c15:fullRef>
                        <c15:formulaRef>
                          <c15:sqref>Sheet1!$A$2:$A$3</c15:sqref>
                        </c15:formulaRef>
                      </c:ext>
                    </c:extLst>
                    <c:strCache>
                      <c:ptCount val="2"/>
                      <c:pt idx="0">
                        <c:v>2021年</c:v>
                      </c:pt>
                      <c:pt idx="1">
                        <c:v>2022年</c:v>
                      </c:pt>
                    </c:strCache>
                  </c:str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Sheet1!$A$2:$A$5</c15:sqref>
                        </c15:fullRef>
                        <c15:formulaRef>
                          <c15:sqref>Sheet1!$A$2:$A$3</c15:sqref>
                        </c15:formulaRef>
                      </c:ext>
                    </c:extLst>
                    <c:strCache>
                      <c:ptCount val="2"/>
                      <c:pt idx="0">
                        <c:v>2021年</c:v>
                      </c:pt>
                      <c:pt idx="1">
                        <c:v>2022年</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59446200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9448534"/>
        <c:crosses val="autoZero"/>
        <c:auto val="true"/>
        <c:lblAlgn val="ctr"/>
        <c:lblOffset val="100"/>
        <c:noMultiLvlLbl val="false"/>
      </c:catAx>
      <c:valAx>
        <c:axId val="50944853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446200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文化旅游体育与传媒支出</c:v>
                </c:pt>
                <c:pt idx="1">
                  <c:v>社会保障和就业支出</c:v>
                </c:pt>
                <c:pt idx="2">
                  <c:v>卫生健康支出</c:v>
                </c:pt>
                <c:pt idx="3">
                  <c:v>住房保障支出</c:v>
                </c:pt>
              </c:strCache>
            </c:strRef>
          </c:cat>
          <c:val>
            <c:numRef>
              <c:f>Sheet1!$B$2:$B$5</c:f>
              <c:numCache>
                <c:formatCode>0.00%</c:formatCode>
                <c:ptCount val="4"/>
                <c:pt idx="0">
                  <c:v>0.8279</c:v>
                </c:pt>
                <c:pt idx="1">
                  <c:v>0.0866</c:v>
                </c:pt>
                <c:pt idx="2">
                  <c:v>0.0266</c:v>
                </c:pt>
                <c:pt idx="3">
                  <c:v>0.0589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formatCode="0%">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1</TotalTime>
  <ScaleCrop>false</ScaleCrop>
  <LinksUpToDate>false</LinksUpToDate>
  <CharactersWithSpaces>8692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user</cp:lastModifiedBy>
  <cp:lastPrinted>2023-08-04T10:35:00Z</cp:lastPrinted>
  <dcterms:modified xsi:type="dcterms:W3CDTF">2023-10-17T15:09:23Z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6B70361D626A4593B4A9C4A901EC4F63</vt:lpwstr>
  </property>
</Properties>
</file>